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6247B" w14:textId="6D244FC1" w:rsidR="00A3104D" w:rsidRPr="004C4C78" w:rsidRDefault="00A3104D" w:rsidP="00503DFD">
      <w:pPr>
        <w:spacing w:line="480" w:lineRule="auto"/>
        <w:jc w:val="right"/>
        <w:outlineLvl w:val="0"/>
        <w:rPr>
          <w:b/>
          <w:highlight w:val="yellow"/>
          <w:u w:val="single"/>
        </w:rPr>
      </w:pPr>
      <w:r w:rsidRPr="0080717C">
        <w:rPr>
          <w:rFonts w:eastAsia="Times New Roman"/>
          <w:b/>
          <w:bCs/>
          <w:highlight w:val="yellow"/>
          <w:u w:val="single"/>
        </w:rPr>
        <w:t>Detained/Non-Detained</w:t>
      </w:r>
      <w:r w:rsidR="00FC56F0">
        <w:rPr>
          <w:rStyle w:val="FootnoteReference"/>
          <w:rFonts w:eastAsia="Times New Roman"/>
          <w:b/>
          <w:bCs/>
          <w:highlight w:val="yellow"/>
          <w:u w:val="single"/>
        </w:rPr>
        <w:footnoteReference w:id="1"/>
      </w:r>
      <w:r w:rsidRPr="004C4C78">
        <w:rPr>
          <w:rFonts w:eastAsia="Times New Roman"/>
          <w:bCs/>
        </w:rPr>
        <w:tab/>
        <w:t xml:space="preserve"> </w:t>
      </w:r>
    </w:p>
    <w:p w14:paraId="171231BE" w14:textId="77777777" w:rsidR="00A3104D" w:rsidRPr="004C4C78" w:rsidRDefault="00A3104D" w:rsidP="00F26981">
      <w:pPr>
        <w:spacing w:line="480" w:lineRule="auto"/>
        <w:rPr>
          <w:lang w:eastAsia="ja-JP"/>
        </w:rPr>
      </w:pPr>
      <w:r w:rsidRPr="0080717C">
        <w:rPr>
          <w:highlight w:val="yellow"/>
          <w:lang w:eastAsia="ja-JP"/>
        </w:rPr>
        <w:t>[ENTER ATTORNEY INFO HERE]</w:t>
      </w:r>
    </w:p>
    <w:p w14:paraId="300AFC33" w14:textId="77777777" w:rsidR="00A3104D" w:rsidRPr="004C4C78" w:rsidRDefault="00A3104D" w:rsidP="00503DFD">
      <w:pPr>
        <w:spacing w:line="480" w:lineRule="auto"/>
        <w:jc w:val="center"/>
        <w:rPr>
          <w:rFonts w:eastAsia="Times New Roman"/>
        </w:rPr>
      </w:pPr>
    </w:p>
    <w:p w14:paraId="3079F084" w14:textId="77777777" w:rsidR="00A3104D" w:rsidRPr="004C4C78" w:rsidRDefault="00A3104D" w:rsidP="00F26981">
      <w:pPr>
        <w:jc w:val="center"/>
        <w:outlineLvl w:val="0"/>
        <w:rPr>
          <w:rFonts w:eastAsia="Times New Roman"/>
        </w:rPr>
      </w:pPr>
      <w:r w:rsidRPr="004C4C78">
        <w:rPr>
          <w:rFonts w:eastAsia="Times New Roman"/>
        </w:rPr>
        <w:t>UNITED STATES DEPARTMENT OF JUSTICE</w:t>
      </w:r>
    </w:p>
    <w:p w14:paraId="510CD670" w14:textId="77777777" w:rsidR="00A3104D" w:rsidRPr="004C4C78" w:rsidRDefault="00A3104D" w:rsidP="00F26981">
      <w:pPr>
        <w:jc w:val="center"/>
        <w:rPr>
          <w:rFonts w:eastAsia="Times New Roman"/>
        </w:rPr>
      </w:pPr>
      <w:r w:rsidRPr="004C4C78">
        <w:rPr>
          <w:rFonts w:eastAsia="Times New Roman"/>
        </w:rPr>
        <w:t>EXECUTIVE OFFICE FOR IMMIGRATION REVIEW</w:t>
      </w:r>
    </w:p>
    <w:p w14:paraId="748B6266" w14:textId="77777777" w:rsidR="00A3104D" w:rsidRPr="004C4C78" w:rsidRDefault="00A3104D" w:rsidP="00F26981">
      <w:pPr>
        <w:jc w:val="center"/>
        <w:rPr>
          <w:rFonts w:eastAsia="Times New Roman"/>
        </w:rPr>
      </w:pPr>
      <w:r w:rsidRPr="004C4C78">
        <w:rPr>
          <w:rFonts w:eastAsia="Times New Roman"/>
        </w:rPr>
        <w:t>OFFICE OF THE IMMIGRATION JUDGE</w:t>
      </w:r>
    </w:p>
    <w:p w14:paraId="224AC97C" w14:textId="77777777" w:rsidR="00A3104D" w:rsidRPr="004C4C78" w:rsidRDefault="00A3104D" w:rsidP="00F26981">
      <w:pPr>
        <w:jc w:val="center"/>
        <w:rPr>
          <w:rFonts w:eastAsia="Times New Roman"/>
        </w:rPr>
      </w:pPr>
      <w:r w:rsidRPr="004C4C78">
        <w:rPr>
          <w:rFonts w:eastAsia="Times New Roman"/>
        </w:rPr>
        <w:t>NEW YORK, NEW YORK</w:t>
      </w:r>
    </w:p>
    <w:p w14:paraId="2A205937" w14:textId="77777777" w:rsidR="00A3104D" w:rsidRPr="004C4C78" w:rsidRDefault="00A3104D" w:rsidP="00F26981">
      <w:pPr>
        <w:rPr>
          <w:rFonts w:eastAsia="Times New Roman"/>
        </w:rPr>
      </w:pPr>
    </w:p>
    <w:p w14:paraId="360B4B2D" w14:textId="77777777" w:rsidR="00A3104D" w:rsidRPr="004C4C78" w:rsidRDefault="00A3104D" w:rsidP="00503DFD">
      <w:pPr>
        <w:spacing w:line="480" w:lineRule="auto"/>
        <w:rPr>
          <w:rFonts w:eastAsia="Times New Roman"/>
        </w:rPr>
      </w:pPr>
      <w:r w:rsidRPr="004C4C78">
        <w:rPr>
          <w:rFonts w:eastAsia="Times New Roman"/>
        </w:rPr>
        <w:t>____________________________</w:t>
      </w:r>
    </w:p>
    <w:p w14:paraId="6A4FE007" w14:textId="77777777" w:rsidR="00A3104D" w:rsidRPr="004C4C78" w:rsidRDefault="00A3104D" w:rsidP="00503DFD">
      <w:pPr>
        <w:spacing w:line="480" w:lineRule="auto"/>
        <w:rPr>
          <w:rFonts w:eastAsia="Times New Roman"/>
        </w:rPr>
      </w:pP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t>)</w:t>
      </w:r>
    </w:p>
    <w:p w14:paraId="15524EDA" w14:textId="77777777" w:rsidR="00A3104D" w:rsidRPr="004C4C78" w:rsidRDefault="00A3104D" w:rsidP="00503DFD">
      <w:pPr>
        <w:spacing w:line="480" w:lineRule="auto"/>
        <w:rPr>
          <w:rFonts w:eastAsia="Times New Roman"/>
        </w:rPr>
      </w:pPr>
      <w:r w:rsidRPr="004C4C78">
        <w:rPr>
          <w:rFonts w:eastAsia="Times New Roman"/>
        </w:rPr>
        <w:t>In the Matter of:</w:t>
      </w:r>
      <w:r w:rsidRPr="004C4C78">
        <w:rPr>
          <w:rFonts w:eastAsia="Times New Roman"/>
        </w:rPr>
        <w:tab/>
      </w:r>
      <w:r w:rsidRPr="004C4C78">
        <w:rPr>
          <w:rFonts w:eastAsia="Times New Roman"/>
        </w:rPr>
        <w:tab/>
      </w:r>
      <w:r w:rsidRPr="004C4C78">
        <w:rPr>
          <w:rFonts w:eastAsia="Times New Roman"/>
        </w:rPr>
        <w:tab/>
        <w:t>)</w:t>
      </w:r>
      <w:r w:rsidRPr="004C4C78">
        <w:rPr>
          <w:rFonts w:eastAsia="Times New Roman"/>
        </w:rPr>
        <w:tab/>
      </w:r>
      <w:r w:rsidRPr="004C4C78">
        <w:rPr>
          <w:rFonts w:eastAsia="Times New Roman"/>
        </w:rPr>
        <w:tab/>
      </w:r>
    </w:p>
    <w:p w14:paraId="11A7C0AA" w14:textId="77777777" w:rsidR="00A3104D" w:rsidRPr="004C4C78" w:rsidRDefault="00A3104D" w:rsidP="00503DFD">
      <w:pPr>
        <w:spacing w:line="480" w:lineRule="auto"/>
        <w:rPr>
          <w:rFonts w:eastAsia="Times New Roman"/>
        </w:rPr>
      </w:pP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t>)</w:t>
      </w:r>
    </w:p>
    <w:p w14:paraId="6B96E776" w14:textId="77777777" w:rsidR="00A3104D" w:rsidRPr="004C4C78" w:rsidRDefault="00A3104D" w:rsidP="00503DFD">
      <w:pPr>
        <w:spacing w:line="480" w:lineRule="auto"/>
        <w:rPr>
          <w:rFonts w:eastAsia="Times New Roman"/>
        </w:rPr>
      </w:pP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t>)</w:t>
      </w:r>
      <w:r w:rsidRPr="004C4C78">
        <w:rPr>
          <w:rFonts w:eastAsia="Times New Roman"/>
        </w:rPr>
        <w:tab/>
      </w:r>
      <w:r w:rsidRPr="004C4C78">
        <w:rPr>
          <w:rFonts w:eastAsia="Times New Roman"/>
        </w:rPr>
        <w:tab/>
      </w:r>
      <w:r w:rsidRPr="004C4C78">
        <w:rPr>
          <w:rFonts w:eastAsia="Times New Roman"/>
          <w:lang w:bidi="en-US"/>
        </w:rPr>
        <w:t>A##########</w:t>
      </w:r>
    </w:p>
    <w:p w14:paraId="173A926E" w14:textId="77777777" w:rsidR="00A3104D" w:rsidRPr="004C4C78" w:rsidRDefault="00A3104D" w:rsidP="00503DFD">
      <w:pPr>
        <w:spacing w:line="480" w:lineRule="auto"/>
        <w:rPr>
          <w:rFonts w:eastAsia="Times New Roman"/>
        </w:rPr>
      </w:pPr>
      <w:r w:rsidRPr="004C4C78">
        <w:rPr>
          <w:rFonts w:eastAsia="Times New Roman"/>
        </w:rPr>
        <w:t>CLIENT</w:t>
      </w:r>
      <w:r w:rsidRPr="004C4C78">
        <w:rPr>
          <w:rFonts w:eastAsia="Times New Roman"/>
        </w:rPr>
        <w:tab/>
      </w:r>
      <w:r w:rsidRPr="004C4C78">
        <w:rPr>
          <w:rFonts w:eastAsia="Times New Roman"/>
        </w:rPr>
        <w:tab/>
        <w:t xml:space="preserve">           </w:t>
      </w:r>
      <w:r w:rsidR="00F26981" w:rsidRPr="004C4C78">
        <w:rPr>
          <w:rFonts w:eastAsia="Times New Roman"/>
        </w:rPr>
        <w:tab/>
      </w:r>
      <w:r w:rsidR="00F26981" w:rsidRPr="004C4C78">
        <w:rPr>
          <w:rFonts w:eastAsia="Times New Roman"/>
        </w:rPr>
        <w:tab/>
      </w:r>
      <w:r w:rsidRPr="004C4C78">
        <w:rPr>
          <w:rFonts w:eastAsia="Times New Roman"/>
        </w:rPr>
        <w:t>)</w:t>
      </w:r>
      <w:r w:rsidRPr="004C4C78">
        <w:rPr>
          <w:rFonts w:eastAsia="Times New Roman"/>
        </w:rPr>
        <w:tab/>
      </w:r>
      <w:r w:rsidRPr="004C4C78">
        <w:rPr>
          <w:rFonts w:eastAsia="Times New Roman"/>
        </w:rPr>
        <w:tab/>
      </w:r>
    </w:p>
    <w:p w14:paraId="3D10437A" w14:textId="77777777" w:rsidR="00A3104D" w:rsidRPr="004C4C78" w:rsidRDefault="00A3104D" w:rsidP="00503DFD">
      <w:pPr>
        <w:spacing w:line="480" w:lineRule="auto"/>
        <w:rPr>
          <w:rFonts w:eastAsia="Times New Roman"/>
        </w:rPr>
      </w:pP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t>)</w:t>
      </w:r>
    </w:p>
    <w:p w14:paraId="33F97E08" w14:textId="77777777" w:rsidR="00A3104D" w:rsidRPr="004C4C78" w:rsidRDefault="00A3104D" w:rsidP="00503DFD">
      <w:pPr>
        <w:spacing w:line="480" w:lineRule="auto"/>
        <w:rPr>
          <w:rFonts w:eastAsia="Times New Roman"/>
        </w:rPr>
      </w:pP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t>)</w:t>
      </w:r>
    </w:p>
    <w:p w14:paraId="0564C32A" w14:textId="77777777" w:rsidR="00A3104D" w:rsidRPr="004C4C78" w:rsidRDefault="00A3104D" w:rsidP="00503DFD">
      <w:pPr>
        <w:spacing w:line="480" w:lineRule="auto"/>
        <w:rPr>
          <w:rFonts w:eastAsia="Times New Roman"/>
        </w:rPr>
      </w:pPr>
      <w:r w:rsidRPr="004C4C78">
        <w:rPr>
          <w:rFonts w:eastAsia="Times New Roman"/>
        </w:rPr>
        <w:t>In Removal Proceedings</w:t>
      </w:r>
      <w:r w:rsidRPr="004C4C78">
        <w:rPr>
          <w:rFonts w:eastAsia="Times New Roman"/>
        </w:rPr>
        <w:tab/>
      </w:r>
      <w:r w:rsidRPr="004C4C78">
        <w:rPr>
          <w:rFonts w:eastAsia="Times New Roman"/>
        </w:rPr>
        <w:tab/>
        <w:t>)</w:t>
      </w:r>
      <w:bookmarkStart w:id="0" w:name="_GoBack"/>
      <w:bookmarkEnd w:id="0"/>
    </w:p>
    <w:p w14:paraId="059FD5F6" w14:textId="77777777" w:rsidR="00A3104D" w:rsidRPr="004C4C78" w:rsidRDefault="00A3104D" w:rsidP="00F26981">
      <w:pPr>
        <w:spacing w:line="480" w:lineRule="auto"/>
        <w:rPr>
          <w:rFonts w:eastAsia="SimSun"/>
          <w:b/>
        </w:rPr>
      </w:pPr>
      <w:r w:rsidRPr="004C4C78">
        <w:rPr>
          <w:rFonts w:eastAsia="Times New Roman"/>
        </w:rPr>
        <w:t>____________________________</w:t>
      </w:r>
    </w:p>
    <w:p w14:paraId="5FDFFE94" w14:textId="77777777" w:rsidR="00A3104D" w:rsidRPr="004C4C78" w:rsidRDefault="00A3104D" w:rsidP="00503DFD">
      <w:pPr>
        <w:spacing w:line="480" w:lineRule="auto"/>
        <w:jc w:val="center"/>
        <w:outlineLvl w:val="0"/>
      </w:pPr>
      <w:r w:rsidRPr="004C4C78">
        <w:rPr>
          <w:b/>
        </w:rPr>
        <w:t xml:space="preserve">Immigration Judge:  </w:t>
      </w:r>
      <w:r w:rsidRPr="004C4C78">
        <w:rPr>
          <w:b/>
        </w:rPr>
        <w:tab/>
        <w:t>Hearing Date:</w:t>
      </w:r>
      <w:r w:rsidR="005130E0" w:rsidRPr="004C4C78">
        <w:rPr>
          <w:b/>
        </w:rPr>
        <w:t xml:space="preserve"> </w:t>
      </w:r>
    </w:p>
    <w:p w14:paraId="2F366728" w14:textId="77777777" w:rsidR="00A3104D" w:rsidRPr="004C4C78" w:rsidRDefault="00A3104D" w:rsidP="00503DFD">
      <w:pPr>
        <w:spacing w:line="480" w:lineRule="auto"/>
        <w:ind w:left="720"/>
        <w:jc w:val="center"/>
        <w:rPr>
          <w:b/>
        </w:rPr>
      </w:pPr>
    </w:p>
    <w:p w14:paraId="552038E1" w14:textId="77777777" w:rsidR="00A3104D" w:rsidRPr="004C4C78" w:rsidRDefault="00A3104D" w:rsidP="00503DFD">
      <w:pPr>
        <w:spacing w:line="480" w:lineRule="auto"/>
        <w:ind w:left="720"/>
        <w:jc w:val="center"/>
        <w:rPr>
          <w:b/>
        </w:rPr>
      </w:pPr>
    </w:p>
    <w:p w14:paraId="5032F74A" w14:textId="77777777" w:rsidR="00A3104D" w:rsidRPr="004C4C78" w:rsidRDefault="00016F48" w:rsidP="00F26981">
      <w:pPr>
        <w:jc w:val="center"/>
        <w:rPr>
          <w:b/>
        </w:rPr>
      </w:pPr>
      <w:r w:rsidRPr="004C4C78">
        <w:rPr>
          <w:b/>
        </w:rPr>
        <w:t xml:space="preserve">MOTION TO REQUEST SAFEGUARDS FOR </w:t>
      </w:r>
      <w:r w:rsidRPr="004C4C78">
        <w:rPr>
          <w:b/>
          <w:highlight w:val="yellow"/>
        </w:rPr>
        <w:t>CLIENT’s</w:t>
      </w:r>
      <w:r w:rsidRPr="004C4C78">
        <w:rPr>
          <w:b/>
        </w:rPr>
        <w:t xml:space="preserve"> MENTAL HEALTH CONDITIONS AND TO ENSURE FUNDAMENTAL FAIRNESS OF THE </w:t>
      </w:r>
      <w:r w:rsidR="00724773" w:rsidRPr="004C4C78">
        <w:rPr>
          <w:b/>
        </w:rPr>
        <w:t>REMOVAL</w:t>
      </w:r>
      <w:r w:rsidRPr="004C4C78">
        <w:rPr>
          <w:b/>
        </w:rPr>
        <w:t xml:space="preserve"> PROCEEDING</w:t>
      </w:r>
    </w:p>
    <w:p w14:paraId="4E45ACC5" w14:textId="77777777" w:rsidR="00A3104D" w:rsidRPr="004C4C78" w:rsidRDefault="00A3104D" w:rsidP="00503DFD">
      <w:pPr>
        <w:spacing w:line="480" w:lineRule="auto"/>
        <w:rPr>
          <w:b/>
        </w:rPr>
        <w:sectPr w:rsidR="00A3104D" w:rsidRPr="004C4C78" w:rsidSect="0080717C">
          <w:footerReference w:type="default" r:id="rId8"/>
          <w:pgSz w:w="12240" w:h="15840"/>
          <w:pgMar w:top="1440" w:right="1440" w:bottom="1440" w:left="1440" w:header="720" w:footer="720" w:gutter="0"/>
          <w:cols w:space="720"/>
          <w:titlePg/>
          <w:docGrid w:linePitch="326"/>
        </w:sectPr>
      </w:pPr>
    </w:p>
    <w:p w14:paraId="6201E811" w14:textId="77777777" w:rsidR="00A3104D" w:rsidRPr="004C4C78" w:rsidRDefault="00A3104D" w:rsidP="00503DFD">
      <w:pPr>
        <w:spacing w:line="480" w:lineRule="auto"/>
        <w:jc w:val="center"/>
        <w:outlineLvl w:val="0"/>
        <w:rPr>
          <w:b/>
          <w:u w:val="single"/>
        </w:rPr>
      </w:pPr>
      <w:r w:rsidRPr="004C4C78">
        <w:rPr>
          <w:b/>
          <w:u w:val="single"/>
        </w:rPr>
        <w:lastRenderedPageBreak/>
        <w:t xml:space="preserve">TABLE OF CONTENTS </w:t>
      </w:r>
    </w:p>
    <w:p w14:paraId="7E30C098" w14:textId="1C8188AA" w:rsidR="00A3104D" w:rsidRPr="004C4C78" w:rsidRDefault="00DF6696" w:rsidP="00503DFD">
      <w:pPr>
        <w:spacing w:line="480" w:lineRule="auto"/>
        <w:outlineLvl w:val="0"/>
      </w:pPr>
      <w:r>
        <w:t xml:space="preserve">INTRODUCTION </w:t>
      </w:r>
    </w:p>
    <w:p w14:paraId="2F59810E" w14:textId="6757B137" w:rsidR="00A3104D" w:rsidRPr="004C4C78" w:rsidRDefault="00A3104D" w:rsidP="00503DFD">
      <w:pPr>
        <w:spacing w:line="480" w:lineRule="auto"/>
        <w:outlineLvl w:val="0"/>
      </w:pPr>
      <w:r w:rsidRPr="004C4C78">
        <w:t>PROCEDURAL HISTORY AND BACKGROUND</w:t>
      </w:r>
      <w:r w:rsidR="00DF6696">
        <w:t xml:space="preserve"> </w:t>
      </w:r>
    </w:p>
    <w:p w14:paraId="17B8B70D" w14:textId="77777777" w:rsidR="00B423EA" w:rsidRPr="004C4C78" w:rsidRDefault="00A3104D" w:rsidP="00503DFD">
      <w:pPr>
        <w:spacing w:line="480" w:lineRule="auto"/>
      </w:pPr>
      <w:r w:rsidRPr="004C4C78">
        <w:t xml:space="preserve">ARGUMENT </w:t>
      </w:r>
    </w:p>
    <w:p w14:paraId="245333B5" w14:textId="2533350A" w:rsidR="00B423EA" w:rsidRPr="004C4C78" w:rsidRDefault="0058501D" w:rsidP="00503DFD">
      <w:pPr>
        <w:pStyle w:val="ListParagraph"/>
        <w:numPr>
          <w:ilvl w:val="0"/>
          <w:numId w:val="9"/>
        </w:numPr>
        <w:spacing w:line="480" w:lineRule="auto"/>
        <w:rPr>
          <w:rFonts w:ascii="Times New Roman" w:hAnsi="Times New Roman" w:cs="Times New Roman"/>
          <w:sz w:val="24"/>
          <w:szCs w:val="24"/>
        </w:rPr>
      </w:pPr>
      <w:r w:rsidRPr="004C4C78">
        <w:rPr>
          <w:rFonts w:ascii="Times New Roman" w:hAnsi="Times New Roman" w:cs="Times New Roman"/>
          <w:sz w:val="24"/>
          <w:szCs w:val="24"/>
        </w:rPr>
        <w:t xml:space="preserve">The Court Must Adopt Appropriate Safeguards to Ensure that Immigration Court Proceedings Remain Fair </w:t>
      </w:r>
      <w:r w:rsidR="00B13E05" w:rsidRPr="004C4C78">
        <w:rPr>
          <w:rFonts w:ascii="Times New Roman" w:hAnsi="Times New Roman" w:cs="Times New Roman"/>
          <w:sz w:val="24"/>
          <w:szCs w:val="24"/>
        </w:rPr>
        <w:t xml:space="preserve">for </w:t>
      </w:r>
      <w:r w:rsidR="00B13E05" w:rsidRPr="0080717C">
        <w:rPr>
          <w:rFonts w:ascii="Times New Roman" w:hAnsi="Times New Roman" w:cs="Times New Roman"/>
          <w:sz w:val="24"/>
          <w:szCs w:val="24"/>
        </w:rPr>
        <w:t xml:space="preserve">People </w:t>
      </w:r>
      <w:r w:rsidR="00B13E05" w:rsidRPr="00733124">
        <w:rPr>
          <w:rFonts w:ascii="Times New Roman" w:hAnsi="Times New Roman" w:cs="Times New Roman"/>
          <w:sz w:val="24"/>
          <w:szCs w:val="24"/>
        </w:rPr>
        <w:t>with</w:t>
      </w:r>
      <w:r w:rsidR="00B13E05" w:rsidRPr="004C4C78">
        <w:rPr>
          <w:rFonts w:ascii="Times New Roman" w:hAnsi="Times New Roman" w:cs="Times New Roman"/>
          <w:sz w:val="24"/>
          <w:szCs w:val="24"/>
          <w:highlight w:val="yellow"/>
        </w:rPr>
        <w:t xml:space="preserve"> </w:t>
      </w:r>
      <w:r w:rsidR="002126A9" w:rsidRPr="004C4C78">
        <w:rPr>
          <w:rFonts w:ascii="Times New Roman" w:hAnsi="Times New Roman" w:cs="Times New Roman"/>
          <w:sz w:val="24"/>
          <w:szCs w:val="24"/>
          <w:highlight w:val="yellow"/>
        </w:rPr>
        <w:t>PTSD or [mood disorder]</w:t>
      </w:r>
      <w:r w:rsidR="00B13E05" w:rsidRPr="004C4C78">
        <w:rPr>
          <w:rFonts w:ascii="Times New Roman" w:hAnsi="Times New Roman" w:cs="Times New Roman"/>
          <w:sz w:val="24"/>
          <w:szCs w:val="24"/>
        </w:rPr>
        <w:t xml:space="preserve"> like </w:t>
      </w:r>
      <w:r w:rsidR="00B13E05" w:rsidRPr="004C4C78">
        <w:rPr>
          <w:rFonts w:ascii="Times New Roman" w:hAnsi="Times New Roman" w:cs="Times New Roman"/>
          <w:sz w:val="24"/>
          <w:szCs w:val="24"/>
          <w:highlight w:val="yellow"/>
        </w:rPr>
        <w:t>CLIENT</w:t>
      </w:r>
    </w:p>
    <w:p w14:paraId="26F37342" w14:textId="44BCAE2A" w:rsidR="00C842E8" w:rsidRPr="004C4C78" w:rsidRDefault="00B423EA" w:rsidP="00503DFD">
      <w:pPr>
        <w:pStyle w:val="ListParagraph"/>
        <w:numPr>
          <w:ilvl w:val="0"/>
          <w:numId w:val="9"/>
        </w:numPr>
        <w:spacing w:line="480" w:lineRule="auto"/>
        <w:rPr>
          <w:rFonts w:ascii="Times New Roman" w:hAnsi="Times New Roman" w:cs="Times New Roman"/>
          <w:sz w:val="24"/>
          <w:szCs w:val="24"/>
        </w:rPr>
      </w:pPr>
      <w:r w:rsidRPr="004C4C78">
        <w:rPr>
          <w:rFonts w:ascii="Times New Roman" w:hAnsi="Times New Roman" w:cs="Times New Roman"/>
          <w:sz w:val="24"/>
          <w:szCs w:val="24"/>
        </w:rPr>
        <w:t xml:space="preserve">Appropriate Safeguards </w:t>
      </w:r>
      <w:r w:rsidR="00C842E8" w:rsidRPr="004C4C78">
        <w:rPr>
          <w:rFonts w:ascii="Times New Roman" w:hAnsi="Times New Roman" w:cs="Times New Roman"/>
          <w:sz w:val="24"/>
          <w:szCs w:val="24"/>
        </w:rPr>
        <w:t xml:space="preserve">Will </w:t>
      </w:r>
      <w:r w:rsidR="007C4144" w:rsidRPr="004C4C78">
        <w:rPr>
          <w:rFonts w:ascii="Times New Roman" w:hAnsi="Times New Roman" w:cs="Times New Roman"/>
          <w:sz w:val="24"/>
          <w:szCs w:val="24"/>
        </w:rPr>
        <w:t xml:space="preserve">Protect </w:t>
      </w:r>
      <w:r w:rsidR="007C4144" w:rsidRPr="004C4C78">
        <w:rPr>
          <w:rFonts w:ascii="Times New Roman" w:hAnsi="Times New Roman" w:cs="Times New Roman"/>
          <w:sz w:val="24"/>
          <w:szCs w:val="24"/>
          <w:highlight w:val="yellow"/>
        </w:rPr>
        <w:t>CLIENT’s</w:t>
      </w:r>
      <w:r w:rsidR="007C4144" w:rsidRPr="004C4C78">
        <w:rPr>
          <w:rFonts w:ascii="Times New Roman" w:hAnsi="Times New Roman" w:cs="Times New Roman"/>
          <w:sz w:val="24"/>
          <w:szCs w:val="24"/>
        </w:rPr>
        <w:t xml:space="preserve"> Right to Testify, Rebut, and</w:t>
      </w:r>
      <w:r w:rsidR="0007563D" w:rsidRPr="004C4C78">
        <w:rPr>
          <w:rFonts w:ascii="Times New Roman" w:hAnsi="Times New Roman" w:cs="Times New Roman"/>
          <w:sz w:val="24"/>
          <w:szCs w:val="24"/>
        </w:rPr>
        <w:t xml:space="preserve"> Present Evidence in Immigration</w:t>
      </w:r>
      <w:r w:rsidR="00D31E75" w:rsidRPr="004C4C78">
        <w:rPr>
          <w:rFonts w:ascii="Times New Roman" w:hAnsi="Times New Roman" w:cs="Times New Roman"/>
          <w:sz w:val="24"/>
          <w:szCs w:val="24"/>
        </w:rPr>
        <w:t xml:space="preserve"> Court</w:t>
      </w:r>
      <w:r w:rsidR="00DF6696">
        <w:rPr>
          <w:rFonts w:ascii="Times New Roman" w:hAnsi="Times New Roman" w:cs="Times New Roman"/>
          <w:sz w:val="24"/>
          <w:szCs w:val="24"/>
        </w:rPr>
        <w:t xml:space="preserve"> </w:t>
      </w:r>
      <w:r w:rsidR="007C4144" w:rsidRPr="004C4C78">
        <w:rPr>
          <w:rFonts w:ascii="Times New Roman" w:hAnsi="Times New Roman" w:cs="Times New Roman"/>
          <w:sz w:val="24"/>
          <w:szCs w:val="24"/>
        </w:rPr>
        <w:t xml:space="preserve"> </w:t>
      </w:r>
    </w:p>
    <w:p w14:paraId="64996FE9" w14:textId="4A7681C2" w:rsidR="00906E7B" w:rsidRPr="004C4C78" w:rsidRDefault="00906E7B" w:rsidP="00503DFD">
      <w:pPr>
        <w:pStyle w:val="ListParagraph"/>
        <w:numPr>
          <w:ilvl w:val="1"/>
          <w:numId w:val="9"/>
        </w:numPr>
        <w:spacing w:line="480" w:lineRule="auto"/>
        <w:rPr>
          <w:rFonts w:ascii="Times New Roman" w:hAnsi="Times New Roman" w:cs="Times New Roman"/>
          <w:sz w:val="24"/>
          <w:szCs w:val="24"/>
        </w:rPr>
      </w:pPr>
      <w:r w:rsidRPr="004C4C78">
        <w:rPr>
          <w:rFonts w:ascii="Times New Roman" w:hAnsi="Times New Roman" w:cs="Times New Roman"/>
          <w:sz w:val="24"/>
          <w:szCs w:val="24"/>
        </w:rPr>
        <w:t xml:space="preserve">The Court Should </w:t>
      </w:r>
      <w:r w:rsidR="00681318" w:rsidRPr="004C4C78">
        <w:rPr>
          <w:rFonts w:ascii="Times New Roman" w:hAnsi="Times New Roman" w:cs="Times New Roman"/>
          <w:sz w:val="24"/>
          <w:szCs w:val="24"/>
        </w:rPr>
        <w:t xml:space="preserve">Not </w:t>
      </w:r>
      <w:r w:rsidR="00ED0E83" w:rsidRPr="004C4C78">
        <w:rPr>
          <w:rFonts w:ascii="Times New Roman" w:hAnsi="Times New Roman" w:cs="Times New Roman"/>
          <w:sz w:val="24"/>
          <w:szCs w:val="24"/>
        </w:rPr>
        <w:t xml:space="preserve">Draw </w:t>
      </w:r>
      <w:r w:rsidRPr="004C4C78">
        <w:rPr>
          <w:rFonts w:ascii="Times New Roman" w:hAnsi="Times New Roman" w:cs="Times New Roman"/>
          <w:sz w:val="24"/>
          <w:szCs w:val="24"/>
        </w:rPr>
        <w:t xml:space="preserve">Any </w:t>
      </w:r>
      <w:r w:rsidR="00681318" w:rsidRPr="004C4C78">
        <w:rPr>
          <w:rFonts w:ascii="Times New Roman" w:hAnsi="Times New Roman" w:cs="Times New Roman"/>
          <w:sz w:val="24"/>
          <w:szCs w:val="24"/>
        </w:rPr>
        <w:t xml:space="preserve">Adverse </w:t>
      </w:r>
      <w:r w:rsidRPr="004C4C78">
        <w:rPr>
          <w:rFonts w:ascii="Times New Roman" w:hAnsi="Times New Roman" w:cs="Times New Roman"/>
          <w:sz w:val="24"/>
          <w:szCs w:val="24"/>
        </w:rPr>
        <w:t xml:space="preserve">Inference </w:t>
      </w:r>
      <w:r w:rsidR="00ED0E83" w:rsidRPr="004C4C78">
        <w:rPr>
          <w:rFonts w:ascii="Times New Roman" w:hAnsi="Times New Roman" w:cs="Times New Roman"/>
          <w:sz w:val="24"/>
          <w:szCs w:val="24"/>
        </w:rPr>
        <w:t xml:space="preserve">if </w:t>
      </w:r>
      <w:r w:rsidR="00ED0E83" w:rsidRPr="004C4C78">
        <w:rPr>
          <w:rFonts w:ascii="Times New Roman" w:hAnsi="Times New Roman" w:cs="Times New Roman"/>
          <w:sz w:val="24"/>
          <w:szCs w:val="24"/>
          <w:highlight w:val="yellow"/>
        </w:rPr>
        <w:t>CLIENT</w:t>
      </w:r>
      <w:r w:rsidR="00ED0E83" w:rsidRPr="004C4C78">
        <w:rPr>
          <w:rFonts w:ascii="Times New Roman" w:hAnsi="Times New Roman" w:cs="Times New Roman"/>
          <w:sz w:val="24"/>
          <w:szCs w:val="24"/>
        </w:rPr>
        <w:t xml:space="preserve"> Does Not Testify</w:t>
      </w:r>
    </w:p>
    <w:p w14:paraId="6D671BAD" w14:textId="77777777" w:rsidR="007C4144" w:rsidRPr="004C4C78" w:rsidRDefault="00EC09EF" w:rsidP="00503DFD">
      <w:pPr>
        <w:pStyle w:val="ListParagraph"/>
        <w:numPr>
          <w:ilvl w:val="1"/>
          <w:numId w:val="9"/>
        </w:numPr>
        <w:spacing w:line="480" w:lineRule="auto"/>
        <w:rPr>
          <w:rFonts w:ascii="Times New Roman" w:hAnsi="Times New Roman" w:cs="Times New Roman"/>
          <w:sz w:val="24"/>
          <w:szCs w:val="24"/>
        </w:rPr>
      </w:pPr>
      <w:r w:rsidRPr="004C4C78">
        <w:rPr>
          <w:rFonts w:ascii="Times New Roman" w:hAnsi="Times New Roman" w:cs="Times New Roman"/>
          <w:sz w:val="24"/>
          <w:szCs w:val="24"/>
        </w:rPr>
        <w:t xml:space="preserve">Appropriate Safeguards Should Include </w:t>
      </w:r>
      <w:r w:rsidR="00F1593D" w:rsidRPr="004C4C78">
        <w:rPr>
          <w:rFonts w:ascii="Times New Roman" w:hAnsi="Times New Roman" w:cs="Times New Roman"/>
          <w:sz w:val="24"/>
          <w:szCs w:val="24"/>
        </w:rPr>
        <w:t xml:space="preserve">Granting </w:t>
      </w:r>
      <w:r w:rsidR="00C842E8" w:rsidRPr="004C4C78">
        <w:rPr>
          <w:rFonts w:ascii="Times New Roman" w:hAnsi="Times New Roman" w:cs="Times New Roman"/>
          <w:sz w:val="24"/>
          <w:szCs w:val="24"/>
        </w:rPr>
        <w:t>Permission to Ask Leading Questions</w:t>
      </w:r>
      <w:r w:rsidR="007C4144" w:rsidRPr="004C4C78">
        <w:rPr>
          <w:rFonts w:ascii="Times New Roman" w:hAnsi="Times New Roman" w:cs="Times New Roman"/>
          <w:sz w:val="24"/>
          <w:szCs w:val="24"/>
        </w:rPr>
        <w:t xml:space="preserve"> During Direct Examination </w:t>
      </w:r>
    </w:p>
    <w:p w14:paraId="279DBA7A" w14:textId="77777777" w:rsidR="00C842E8" w:rsidRPr="004C4C78" w:rsidRDefault="00906E7B" w:rsidP="00503DFD">
      <w:pPr>
        <w:pStyle w:val="ListParagraph"/>
        <w:numPr>
          <w:ilvl w:val="1"/>
          <w:numId w:val="9"/>
        </w:numPr>
        <w:spacing w:line="480" w:lineRule="auto"/>
        <w:rPr>
          <w:rFonts w:ascii="Times New Roman" w:hAnsi="Times New Roman" w:cs="Times New Roman"/>
          <w:sz w:val="24"/>
          <w:szCs w:val="24"/>
        </w:rPr>
      </w:pPr>
      <w:r w:rsidRPr="004C4C78">
        <w:rPr>
          <w:rFonts w:ascii="Times New Roman" w:hAnsi="Times New Roman" w:cs="Times New Roman"/>
          <w:sz w:val="24"/>
          <w:szCs w:val="24"/>
        </w:rPr>
        <w:t xml:space="preserve">Appropriate Safeguards Should Include </w:t>
      </w:r>
      <w:r w:rsidR="00F1593D" w:rsidRPr="004C4C78">
        <w:rPr>
          <w:rFonts w:ascii="Times New Roman" w:hAnsi="Times New Roman" w:cs="Times New Roman"/>
          <w:sz w:val="24"/>
          <w:szCs w:val="24"/>
        </w:rPr>
        <w:t xml:space="preserve">Permitting </w:t>
      </w:r>
      <w:r w:rsidR="007C4144" w:rsidRPr="004C4C78">
        <w:rPr>
          <w:rFonts w:ascii="Times New Roman" w:hAnsi="Times New Roman" w:cs="Times New Roman"/>
          <w:sz w:val="24"/>
          <w:szCs w:val="24"/>
        </w:rPr>
        <w:t>Short Breaks Between Questioning and Close</w:t>
      </w:r>
      <w:r w:rsidR="00F1593D" w:rsidRPr="004C4C78">
        <w:rPr>
          <w:rFonts w:ascii="Times New Roman" w:hAnsi="Times New Roman" w:cs="Times New Roman"/>
          <w:sz w:val="24"/>
          <w:szCs w:val="24"/>
        </w:rPr>
        <w:t>ly</w:t>
      </w:r>
      <w:r w:rsidR="007C4144" w:rsidRPr="004C4C78">
        <w:rPr>
          <w:rFonts w:ascii="Times New Roman" w:hAnsi="Times New Roman" w:cs="Times New Roman"/>
          <w:sz w:val="24"/>
          <w:szCs w:val="24"/>
        </w:rPr>
        <w:t xml:space="preserve"> </w:t>
      </w:r>
      <w:r w:rsidR="00F1593D" w:rsidRPr="004C4C78">
        <w:rPr>
          <w:rFonts w:ascii="Times New Roman" w:hAnsi="Times New Roman" w:cs="Times New Roman"/>
          <w:sz w:val="24"/>
          <w:szCs w:val="24"/>
        </w:rPr>
        <w:t>Monitoring the</w:t>
      </w:r>
      <w:r w:rsidR="00C842E8" w:rsidRPr="004C4C78">
        <w:rPr>
          <w:rFonts w:ascii="Times New Roman" w:hAnsi="Times New Roman" w:cs="Times New Roman"/>
          <w:sz w:val="24"/>
          <w:szCs w:val="24"/>
        </w:rPr>
        <w:t xml:space="preserve"> Tone and For</w:t>
      </w:r>
      <w:r w:rsidR="00F1593D" w:rsidRPr="004C4C78">
        <w:rPr>
          <w:rFonts w:ascii="Times New Roman" w:hAnsi="Times New Roman" w:cs="Times New Roman"/>
          <w:sz w:val="24"/>
          <w:szCs w:val="24"/>
        </w:rPr>
        <w:t xml:space="preserve">m </w:t>
      </w:r>
      <w:r w:rsidR="0007563D" w:rsidRPr="004C4C78">
        <w:rPr>
          <w:rFonts w:ascii="Times New Roman" w:hAnsi="Times New Roman" w:cs="Times New Roman"/>
          <w:sz w:val="24"/>
          <w:szCs w:val="24"/>
        </w:rPr>
        <w:t xml:space="preserve">of Questions </w:t>
      </w:r>
      <w:r w:rsidR="00F1593D" w:rsidRPr="004C4C78">
        <w:rPr>
          <w:rFonts w:ascii="Times New Roman" w:hAnsi="Times New Roman" w:cs="Times New Roman"/>
          <w:sz w:val="24"/>
          <w:szCs w:val="24"/>
        </w:rPr>
        <w:t xml:space="preserve">During </w:t>
      </w:r>
      <w:r w:rsidR="00D00DF2" w:rsidRPr="004C4C78">
        <w:rPr>
          <w:rFonts w:ascii="Times New Roman" w:hAnsi="Times New Roman" w:cs="Times New Roman"/>
          <w:sz w:val="24"/>
          <w:szCs w:val="24"/>
        </w:rPr>
        <w:t>Cross-</w:t>
      </w:r>
      <w:r w:rsidR="00C842E8" w:rsidRPr="004C4C78">
        <w:rPr>
          <w:rFonts w:ascii="Times New Roman" w:hAnsi="Times New Roman" w:cs="Times New Roman"/>
          <w:sz w:val="24"/>
          <w:szCs w:val="24"/>
        </w:rPr>
        <w:t>Examination</w:t>
      </w:r>
    </w:p>
    <w:p w14:paraId="6907B342" w14:textId="77777777" w:rsidR="00EA271B" w:rsidRPr="004C4C78" w:rsidRDefault="00EA271B" w:rsidP="00503DFD">
      <w:pPr>
        <w:pStyle w:val="ListParagraph"/>
        <w:numPr>
          <w:ilvl w:val="1"/>
          <w:numId w:val="9"/>
        </w:numPr>
        <w:spacing w:line="480" w:lineRule="auto"/>
        <w:rPr>
          <w:rFonts w:ascii="Times New Roman" w:hAnsi="Times New Roman" w:cs="Times New Roman"/>
          <w:sz w:val="24"/>
          <w:szCs w:val="24"/>
        </w:rPr>
      </w:pPr>
      <w:r w:rsidRPr="004C4C78">
        <w:rPr>
          <w:rFonts w:ascii="Times New Roman" w:hAnsi="Times New Roman" w:cs="Times New Roman"/>
          <w:sz w:val="24"/>
          <w:szCs w:val="24"/>
        </w:rPr>
        <w:t>Appropriate Safeguards Should Also Include Accommodations to the Courtroom Environment</w:t>
      </w:r>
    </w:p>
    <w:p w14:paraId="6774DC1E" w14:textId="77777777" w:rsidR="00F1593D" w:rsidRPr="004C4C78" w:rsidRDefault="00F1593D" w:rsidP="00503DFD">
      <w:pPr>
        <w:pStyle w:val="ListParagraph"/>
        <w:numPr>
          <w:ilvl w:val="1"/>
          <w:numId w:val="9"/>
        </w:numPr>
        <w:spacing w:line="480" w:lineRule="auto"/>
        <w:rPr>
          <w:rFonts w:ascii="Times New Roman" w:hAnsi="Times New Roman" w:cs="Times New Roman"/>
          <w:sz w:val="24"/>
          <w:szCs w:val="24"/>
        </w:rPr>
      </w:pPr>
      <w:r w:rsidRPr="004C4C78">
        <w:rPr>
          <w:rFonts w:ascii="Times New Roman" w:hAnsi="Times New Roman" w:cs="Times New Roman"/>
          <w:sz w:val="24"/>
          <w:szCs w:val="24"/>
        </w:rPr>
        <w:t xml:space="preserve">When Evaluating </w:t>
      </w:r>
      <w:r w:rsidRPr="004C4C78">
        <w:rPr>
          <w:rFonts w:ascii="Times New Roman" w:hAnsi="Times New Roman" w:cs="Times New Roman"/>
          <w:sz w:val="24"/>
          <w:szCs w:val="24"/>
          <w:highlight w:val="yellow"/>
        </w:rPr>
        <w:t>CLIENT’s</w:t>
      </w:r>
      <w:r w:rsidRPr="004C4C78">
        <w:rPr>
          <w:rFonts w:ascii="Times New Roman" w:hAnsi="Times New Roman" w:cs="Times New Roman"/>
          <w:sz w:val="24"/>
          <w:szCs w:val="24"/>
        </w:rPr>
        <w:t xml:space="preserve"> </w:t>
      </w:r>
      <w:r w:rsidR="00D96671" w:rsidRPr="004C4C78">
        <w:rPr>
          <w:rFonts w:ascii="Times New Roman" w:hAnsi="Times New Roman" w:cs="Times New Roman"/>
          <w:sz w:val="24"/>
          <w:szCs w:val="24"/>
        </w:rPr>
        <w:t>Testimony as a Whole</w:t>
      </w:r>
      <w:r w:rsidR="00696937" w:rsidRPr="004C4C78">
        <w:rPr>
          <w:rFonts w:ascii="Times New Roman" w:hAnsi="Times New Roman" w:cs="Times New Roman"/>
          <w:sz w:val="24"/>
          <w:szCs w:val="24"/>
        </w:rPr>
        <w:t xml:space="preserve"> for Credibility and Other Discretionary </w:t>
      </w:r>
      <w:r w:rsidR="00675D94" w:rsidRPr="004C4C78">
        <w:rPr>
          <w:rFonts w:ascii="Times New Roman" w:hAnsi="Times New Roman" w:cs="Times New Roman"/>
          <w:sz w:val="24"/>
          <w:szCs w:val="24"/>
        </w:rPr>
        <w:t>Determinations</w:t>
      </w:r>
      <w:r w:rsidR="00D96671" w:rsidRPr="004C4C78">
        <w:rPr>
          <w:rFonts w:ascii="Times New Roman" w:hAnsi="Times New Roman" w:cs="Times New Roman"/>
          <w:sz w:val="24"/>
          <w:szCs w:val="24"/>
        </w:rPr>
        <w:t>,</w:t>
      </w:r>
      <w:r w:rsidRPr="004C4C78">
        <w:rPr>
          <w:rFonts w:ascii="Times New Roman" w:hAnsi="Times New Roman" w:cs="Times New Roman"/>
          <w:sz w:val="24"/>
          <w:szCs w:val="24"/>
        </w:rPr>
        <w:t xml:space="preserve"> the Court Must Consider </w:t>
      </w:r>
      <w:r w:rsidRPr="004C4C78">
        <w:rPr>
          <w:rFonts w:ascii="Times New Roman" w:hAnsi="Times New Roman" w:cs="Times New Roman"/>
          <w:sz w:val="24"/>
          <w:szCs w:val="24"/>
          <w:highlight w:val="yellow"/>
        </w:rPr>
        <w:t>CLIENT’s</w:t>
      </w:r>
      <w:r w:rsidRPr="004C4C78">
        <w:rPr>
          <w:rFonts w:ascii="Times New Roman" w:hAnsi="Times New Roman" w:cs="Times New Roman"/>
          <w:sz w:val="24"/>
          <w:szCs w:val="24"/>
        </w:rPr>
        <w:t xml:space="preserve"> </w:t>
      </w:r>
      <w:r w:rsidR="009E3507" w:rsidRPr="004C4C78">
        <w:rPr>
          <w:rFonts w:ascii="Times New Roman" w:hAnsi="Times New Roman" w:cs="Times New Roman"/>
          <w:sz w:val="24"/>
          <w:szCs w:val="24"/>
        </w:rPr>
        <w:t>M</w:t>
      </w:r>
      <w:r w:rsidRPr="004C4C78">
        <w:rPr>
          <w:rFonts w:ascii="Times New Roman" w:hAnsi="Times New Roman" w:cs="Times New Roman"/>
          <w:sz w:val="24"/>
          <w:szCs w:val="24"/>
        </w:rPr>
        <w:t>e</w:t>
      </w:r>
      <w:r w:rsidR="009E3507" w:rsidRPr="004C4C78">
        <w:rPr>
          <w:rFonts w:ascii="Times New Roman" w:hAnsi="Times New Roman" w:cs="Times New Roman"/>
          <w:sz w:val="24"/>
          <w:szCs w:val="24"/>
        </w:rPr>
        <w:t>ntal Health</w:t>
      </w:r>
      <w:r w:rsidRPr="004C4C78">
        <w:rPr>
          <w:rFonts w:ascii="Times New Roman" w:hAnsi="Times New Roman" w:cs="Times New Roman"/>
          <w:sz w:val="24"/>
          <w:szCs w:val="24"/>
        </w:rPr>
        <w:t xml:space="preserve"> Limitations </w:t>
      </w:r>
    </w:p>
    <w:p w14:paraId="092D4F62" w14:textId="77777777" w:rsidR="00A3104D" w:rsidRPr="004C4C78" w:rsidRDefault="00A3104D" w:rsidP="00503DFD">
      <w:pPr>
        <w:spacing w:line="480" w:lineRule="auto"/>
      </w:pPr>
      <w:r w:rsidRPr="004C4C78">
        <w:t>CONCLUSION</w:t>
      </w:r>
      <w:r w:rsidRPr="004C4C78">
        <w:br/>
      </w:r>
      <w:r w:rsidRPr="004C4C78">
        <w:br/>
      </w:r>
    </w:p>
    <w:p w14:paraId="2A4B05F8" w14:textId="77777777" w:rsidR="00CD1239" w:rsidRPr="004C4C78" w:rsidRDefault="00CD1239" w:rsidP="00503DFD">
      <w:pPr>
        <w:spacing w:line="480" w:lineRule="auto"/>
        <w:rPr>
          <w:b/>
        </w:rPr>
      </w:pPr>
    </w:p>
    <w:p w14:paraId="1B30CABF" w14:textId="77777777" w:rsidR="009348DD" w:rsidRPr="004C4C78" w:rsidRDefault="009B33FC" w:rsidP="00503DFD">
      <w:pPr>
        <w:spacing w:line="480" w:lineRule="auto"/>
        <w:jc w:val="center"/>
        <w:outlineLvl w:val="0"/>
        <w:rPr>
          <w:b/>
        </w:rPr>
      </w:pPr>
      <w:r w:rsidRPr="004C4C78">
        <w:rPr>
          <w:b/>
        </w:rPr>
        <w:lastRenderedPageBreak/>
        <w:t>INTRODUCTION</w:t>
      </w:r>
    </w:p>
    <w:p w14:paraId="39DEB816" w14:textId="412C91F9" w:rsidR="00CE2822" w:rsidRPr="004C4C78" w:rsidRDefault="00CE2822" w:rsidP="00503DFD">
      <w:pPr>
        <w:spacing w:line="480" w:lineRule="auto"/>
      </w:pPr>
      <w:r w:rsidRPr="004C4C78">
        <w:tab/>
      </w:r>
      <w:r w:rsidR="0075576C" w:rsidRPr="004C4C78">
        <w:rPr>
          <w:highlight w:val="yellow"/>
        </w:rPr>
        <w:t>CLIENT</w:t>
      </w:r>
      <w:r w:rsidR="0075576C" w:rsidRPr="004C4C78">
        <w:t xml:space="preserve"> is a </w:t>
      </w:r>
      <w:r w:rsidR="0075576C" w:rsidRPr="004C4C78">
        <w:rPr>
          <w:highlight w:val="yellow"/>
        </w:rPr>
        <w:t>[age/gender/immigrant status]</w:t>
      </w:r>
      <w:r w:rsidR="0075576C" w:rsidRPr="004C4C78">
        <w:t xml:space="preserve"> </w:t>
      </w:r>
      <w:r w:rsidR="009B33FC" w:rsidRPr="004C4C78">
        <w:t xml:space="preserve">with </w:t>
      </w:r>
      <w:r w:rsidR="00B4584E" w:rsidRPr="004C4C78">
        <w:rPr>
          <w:highlight w:val="yellow"/>
        </w:rPr>
        <w:t>[insert mo</w:t>
      </w:r>
      <w:r w:rsidR="00B30EBC" w:rsidRPr="004C4C78">
        <w:rPr>
          <w:highlight w:val="yellow"/>
        </w:rPr>
        <w:t>od disorder: bipolar disorder,</w:t>
      </w:r>
      <w:r w:rsidR="00C801F1" w:rsidRPr="004C4C78">
        <w:rPr>
          <w:highlight w:val="yellow"/>
        </w:rPr>
        <w:t xml:space="preserve"> major depressive disorder </w:t>
      </w:r>
      <w:r w:rsidR="00B4584E" w:rsidRPr="004C4C78">
        <w:rPr>
          <w:highlight w:val="yellow"/>
        </w:rPr>
        <w:t>etc.</w:t>
      </w:r>
      <w:proofErr w:type="gramStart"/>
      <w:r w:rsidR="00B4584E" w:rsidRPr="004C4C78">
        <w:rPr>
          <w:highlight w:val="yellow"/>
        </w:rPr>
        <w:t>,</w:t>
      </w:r>
      <w:r w:rsidR="002B7D8E" w:rsidRPr="004C4C78">
        <w:rPr>
          <w:highlight w:val="yellow"/>
        </w:rPr>
        <w:t xml:space="preserve"> </w:t>
      </w:r>
      <w:r w:rsidR="00B4584E" w:rsidRPr="004C4C78">
        <w:rPr>
          <w:highlight w:val="yellow"/>
        </w:rPr>
        <w:t>]</w:t>
      </w:r>
      <w:proofErr w:type="gramEnd"/>
      <w:r w:rsidR="002B7D8E" w:rsidRPr="004C4C78">
        <w:t xml:space="preserve"> or </w:t>
      </w:r>
      <w:r w:rsidR="002B7D8E" w:rsidRPr="004C4C78">
        <w:rPr>
          <w:highlight w:val="yellow"/>
        </w:rPr>
        <w:t>post-traumatic stress disorder (PTSD)</w:t>
      </w:r>
      <w:r w:rsidR="00906E7B" w:rsidRPr="004C4C78">
        <w:t xml:space="preserve">. </w:t>
      </w:r>
      <w:r w:rsidR="002B7D8E" w:rsidRPr="004C4C78">
        <w:rPr>
          <w:highlight w:val="yellow"/>
        </w:rPr>
        <w:t>[Mood disorder]</w:t>
      </w:r>
      <w:r w:rsidR="00B30EBC" w:rsidRPr="004C4C78">
        <w:t xml:space="preserve"> or </w:t>
      </w:r>
      <w:r w:rsidR="00B30EBC" w:rsidRPr="004C4C78">
        <w:rPr>
          <w:highlight w:val="yellow"/>
        </w:rPr>
        <w:t>post-traumatic stress disorder</w:t>
      </w:r>
      <w:r w:rsidR="00B30EBC" w:rsidRPr="004C4C78">
        <w:t xml:space="preserve"> </w:t>
      </w:r>
      <w:r w:rsidR="002B7D8E" w:rsidRPr="004C4C78">
        <w:t>affect</w:t>
      </w:r>
      <w:r w:rsidR="003D762E" w:rsidRPr="004C4C78">
        <w:t>s</w:t>
      </w:r>
      <w:r w:rsidR="002B7D8E" w:rsidRPr="004C4C78">
        <w:t xml:space="preserve"> how people process and retrieve information, </w:t>
      </w:r>
      <w:r w:rsidR="00906E7B" w:rsidRPr="004C4C78">
        <w:t>and how they respond to the environment in which th</w:t>
      </w:r>
      <w:r w:rsidR="003D762E" w:rsidRPr="004C4C78">
        <w:t>ey are placed. Because of this disability</w:t>
      </w:r>
      <w:r w:rsidR="00906E7B" w:rsidRPr="004C4C78">
        <w:t xml:space="preserve">, </w:t>
      </w:r>
      <w:r w:rsidR="00906E7B" w:rsidRPr="00733124">
        <w:rPr>
          <w:highlight w:val="yellow"/>
        </w:rPr>
        <w:t>CLIENT</w:t>
      </w:r>
      <w:r w:rsidR="00906E7B" w:rsidRPr="004C4C78">
        <w:t xml:space="preserve"> cannot </w:t>
      </w:r>
      <w:r w:rsidR="00491912" w:rsidRPr="004C4C78">
        <w:t xml:space="preserve">receive a fair hearing without </w:t>
      </w:r>
      <w:r w:rsidR="008F08CE" w:rsidRPr="004C4C78">
        <w:t>accommoda</w:t>
      </w:r>
      <w:r w:rsidR="0075576C" w:rsidRPr="004C4C78">
        <w:t>t</w:t>
      </w:r>
      <w:r w:rsidR="008F08CE" w:rsidRPr="004C4C78">
        <w:t>ions</w:t>
      </w:r>
      <w:r w:rsidR="005130E0" w:rsidRPr="004C4C78">
        <w:t>.</w:t>
      </w:r>
      <w:r w:rsidR="009B33FC" w:rsidRPr="004C4C78">
        <w:t xml:space="preserve"> </w:t>
      </w:r>
      <w:r w:rsidR="002303EC" w:rsidRPr="004C4C78">
        <w:t>The Court can provide these accommodations without mak</w:t>
      </w:r>
      <w:r w:rsidR="004F7AE4" w:rsidRPr="004C4C78">
        <w:t>ing a formal finding of incompe</w:t>
      </w:r>
      <w:r w:rsidR="002303EC" w:rsidRPr="004C4C78">
        <w:t xml:space="preserve">tency. </w:t>
      </w:r>
      <w:proofErr w:type="gramStart"/>
      <w:r w:rsidR="002303EC" w:rsidRPr="004C4C78">
        <w:rPr>
          <w:i/>
        </w:rPr>
        <w:t xml:space="preserve">See Matter of M-A-M, </w:t>
      </w:r>
      <w:r w:rsidR="002303EC" w:rsidRPr="004C4C78">
        <w:t xml:space="preserve">25 I. &amp; N. Dec. 474 </w:t>
      </w:r>
      <w:r w:rsidR="00A14C58" w:rsidRPr="004C4C78">
        <w:t xml:space="preserve">(BIA 2011) </w:t>
      </w:r>
      <w:r w:rsidR="002303EC" w:rsidRPr="004C4C78">
        <w:t>(“</w:t>
      </w:r>
      <w:r w:rsidR="004F7AE4" w:rsidRPr="004C4C78">
        <w:t xml:space="preserve">[T]here are many types of mental illness that . . . would not prevent a respondent from meaningfully participating in immigration proceedings . . . a </w:t>
      </w:r>
      <w:r w:rsidR="002303EC" w:rsidRPr="004C4C78">
        <w:t>diagnosis of mental illness does not automatically equate to a lack of competency.”)</w:t>
      </w:r>
      <w:r w:rsidR="002376D6" w:rsidRPr="004C4C78">
        <w:t xml:space="preserve">; </w:t>
      </w:r>
      <w:r w:rsidR="00620AF0" w:rsidRPr="004C4C78">
        <w:rPr>
          <w:i/>
        </w:rPr>
        <w:t>see also Matter of J-R-R-A</w:t>
      </w:r>
      <w:r w:rsidR="00620AF0" w:rsidRPr="004C4C78">
        <w:t>, 26 I. &amp; N. Dec. 609</w:t>
      </w:r>
      <w:r w:rsidR="00DB297C" w:rsidRPr="004C4C78">
        <w:t>, 610–12</w:t>
      </w:r>
      <w:r w:rsidR="00620AF0" w:rsidRPr="004C4C78">
        <w:t xml:space="preserve"> (BIA 2015) (requiring an accommodation for a respondent with mental health issues without a formal finding of incompetency)</w:t>
      </w:r>
      <w:r w:rsidR="002303EC" w:rsidRPr="004C4C78">
        <w:t>.</w:t>
      </w:r>
      <w:proofErr w:type="gramEnd"/>
      <w:r w:rsidR="002303EC" w:rsidRPr="004C4C78">
        <w:t xml:space="preserve"> </w:t>
      </w:r>
      <w:r w:rsidR="00AC1524" w:rsidRPr="004C4C78">
        <w:t xml:space="preserve">In light of </w:t>
      </w:r>
      <w:r w:rsidR="008F08CE" w:rsidRPr="004C4C78">
        <w:t>this fac</w:t>
      </w:r>
      <w:r w:rsidR="00AC1524" w:rsidRPr="004C4C78">
        <w:t>t</w:t>
      </w:r>
      <w:r w:rsidR="0075576C" w:rsidRPr="004C4C78">
        <w:t xml:space="preserve">, </w:t>
      </w:r>
      <w:r w:rsidR="00D32864" w:rsidRPr="004C4C78">
        <w:rPr>
          <w:highlight w:val="yellow"/>
        </w:rPr>
        <w:t>CLIENT</w:t>
      </w:r>
      <w:r w:rsidR="00D32864" w:rsidRPr="004C4C78">
        <w:t xml:space="preserve"> respectfully requests that </w:t>
      </w:r>
      <w:r w:rsidR="00296C61" w:rsidRPr="004C4C78">
        <w:t xml:space="preserve">the </w:t>
      </w:r>
      <w:r w:rsidR="00EF6B1E" w:rsidRPr="004C4C78">
        <w:t>Court</w:t>
      </w:r>
      <w:r w:rsidR="00296C61" w:rsidRPr="004C4C78">
        <w:t xml:space="preserve"> provide the accommodations </w:t>
      </w:r>
      <w:r w:rsidR="00B11FF6" w:rsidRPr="004C4C78">
        <w:t>requested by</w:t>
      </w:r>
      <w:r w:rsidR="00681318" w:rsidRPr="004C4C78">
        <w:t xml:space="preserve"> this motion </w:t>
      </w:r>
      <w:r w:rsidR="00EF6B1E" w:rsidRPr="004C4C78">
        <w:t xml:space="preserve">to ensure that </w:t>
      </w:r>
      <w:r w:rsidR="00A50703" w:rsidRPr="004C4C78">
        <w:rPr>
          <w:highlight w:val="yellow"/>
        </w:rPr>
        <w:t>[his/her]</w:t>
      </w:r>
      <w:r w:rsidR="00A50703" w:rsidRPr="004C4C78">
        <w:t xml:space="preserve"> </w:t>
      </w:r>
      <w:r w:rsidR="00EF6B1E" w:rsidRPr="004C4C78">
        <w:t>proceedings remain fundamentally fair</w:t>
      </w:r>
      <w:r w:rsidR="00A50703" w:rsidRPr="004C4C78">
        <w:t>.</w:t>
      </w:r>
    </w:p>
    <w:p w14:paraId="3048EE66" w14:textId="77777777" w:rsidR="0014749D" w:rsidRPr="004C4C78" w:rsidRDefault="0014749D" w:rsidP="00503DFD">
      <w:pPr>
        <w:spacing w:line="480" w:lineRule="auto"/>
        <w:jc w:val="center"/>
        <w:outlineLvl w:val="0"/>
        <w:rPr>
          <w:b/>
        </w:rPr>
      </w:pPr>
      <w:r w:rsidRPr="004C4C78">
        <w:rPr>
          <w:b/>
        </w:rPr>
        <w:t xml:space="preserve">PROCEDURAL HISTORY AND BACKGROUND </w:t>
      </w:r>
    </w:p>
    <w:p w14:paraId="78EE80B0" w14:textId="77777777" w:rsidR="0014749D" w:rsidRPr="004C4C78" w:rsidRDefault="0014749D" w:rsidP="00503DFD">
      <w:pPr>
        <w:shd w:val="clear" w:color="auto" w:fill="FFFFFF"/>
        <w:spacing w:line="480" w:lineRule="auto"/>
        <w:outlineLvl w:val="0"/>
        <w:rPr>
          <w:rFonts w:eastAsia="Times New Roman"/>
          <w:b/>
          <w:color w:val="000000"/>
        </w:rPr>
      </w:pPr>
      <w:r w:rsidRPr="004C4C78">
        <w:rPr>
          <w:rFonts w:eastAsia="Times New Roman"/>
          <w:b/>
          <w:color w:val="000000"/>
        </w:rPr>
        <w:t xml:space="preserve">Background on Procedural Posture of Case </w:t>
      </w:r>
    </w:p>
    <w:p w14:paraId="70CBE4A2" w14:textId="3A0D68EE" w:rsidR="0014749D" w:rsidRPr="004C4C78" w:rsidRDefault="006D5E9C" w:rsidP="00503DFD">
      <w:pPr>
        <w:shd w:val="clear" w:color="auto" w:fill="FFFFFF"/>
        <w:spacing w:line="480" w:lineRule="auto"/>
        <w:rPr>
          <w:rFonts w:eastAsia="Times New Roman"/>
          <w:color w:val="000000"/>
        </w:rPr>
      </w:pPr>
      <w:r w:rsidRPr="004C4C78">
        <w:rPr>
          <w:rFonts w:eastAsia="Times New Roman"/>
          <w:color w:val="000000"/>
          <w:highlight w:val="yellow"/>
        </w:rPr>
        <w:t>[</w:t>
      </w:r>
      <w:proofErr w:type="gramStart"/>
      <w:r w:rsidRPr="0080717C">
        <w:rPr>
          <w:rFonts w:eastAsia="Times New Roman"/>
          <w:i/>
          <w:color w:val="000000"/>
          <w:highlight w:val="yellow"/>
        </w:rPr>
        <w:t>includ</w:t>
      </w:r>
      <w:r w:rsidR="002A4294" w:rsidRPr="0080717C">
        <w:rPr>
          <w:rFonts w:eastAsia="Times New Roman"/>
          <w:i/>
          <w:color w:val="000000"/>
          <w:highlight w:val="yellow"/>
        </w:rPr>
        <w:t>e</w:t>
      </w:r>
      <w:proofErr w:type="gramEnd"/>
      <w:r w:rsidR="00C94EFC" w:rsidRPr="0080717C">
        <w:rPr>
          <w:rFonts w:eastAsia="Times New Roman"/>
          <w:i/>
          <w:color w:val="000000"/>
          <w:highlight w:val="yellow"/>
        </w:rPr>
        <w:t xml:space="preserve"> general background information on CLIENT, including</w:t>
      </w:r>
      <w:r w:rsidRPr="0080717C">
        <w:rPr>
          <w:rFonts w:eastAsia="Times New Roman"/>
          <w:i/>
          <w:color w:val="000000"/>
          <w:highlight w:val="yellow"/>
        </w:rPr>
        <w:t xml:space="preserve"> diagnosis and citations to record, evaluations, and any articles in the record</w:t>
      </w:r>
      <w:r w:rsidRPr="004C4C78">
        <w:rPr>
          <w:rFonts w:eastAsia="Times New Roman"/>
          <w:color w:val="000000"/>
          <w:highlight w:val="yellow"/>
        </w:rPr>
        <w:t>]</w:t>
      </w:r>
      <w:r w:rsidRPr="004C4C78">
        <w:rPr>
          <w:rFonts w:eastAsia="Times New Roman"/>
          <w:color w:val="000000"/>
        </w:rPr>
        <w:t>   </w:t>
      </w:r>
      <w:r w:rsidRPr="004C4C78" w:rsidDel="006D5E9C">
        <w:rPr>
          <w:rFonts w:eastAsia="Times New Roman"/>
          <w:color w:val="000000"/>
        </w:rPr>
        <w:t xml:space="preserve"> </w:t>
      </w:r>
      <w:r w:rsidR="0014749D" w:rsidRPr="004C4C78">
        <w:rPr>
          <w:rFonts w:eastAsia="Times New Roman"/>
          <w:color w:val="000000"/>
        </w:rPr>
        <w:t>  </w:t>
      </w:r>
    </w:p>
    <w:p w14:paraId="590F0F10" w14:textId="77777777" w:rsidR="0014749D" w:rsidRPr="004C4C78" w:rsidRDefault="0014749D" w:rsidP="00503DFD">
      <w:pPr>
        <w:shd w:val="clear" w:color="auto" w:fill="FFFFFF"/>
        <w:spacing w:line="480" w:lineRule="auto"/>
        <w:outlineLvl w:val="0"/>
        <w:rPr>
          <w:rFonts w:eastAsia="Times New Roman"/>
          <w:b/>
          <w:i/>
          <w:color w:val="000000"/>
        </w:rPr>
      </w:pPr>
      <w:r w:rsidRPr="004C4C78">
        <w:rPr>
          <w:rFonts w:eastAsia="Times New Roman"/>
          <w:color w:val="000000"/>
        </w:rPr>
        <w:t>  </w:t>
      </w:r>
      <w:r w:rsidR="00E728C2" w:rsidRPr="004C4C78">
        <w:rPr>
          <w:rFonts w:eastAsia="Times New Roman"/>
          <w:b/>
          <w:color w:val="000000"/>
        </w:rPr>
        <w:t xml:space="preserve">Background on </w:t>
      </w:r>
      <w:r w:rsidR="00491912" w:rsidRPr="004C4C78">
        <w:rPr>
          <w:rFonts w:eastAsia="Times New Roman"/>
          <w:b/>
          <w:color w:val="000000"/>
          <w:highlight w:val="yellow"/>
        </w:rPr>
        <w:t>[Mood Disorder]</w:t>
      </w:r>
      <w:r w:rsidR="00491912" w:rsidRPr="004C4C78">
        <w:rPr>
          <w:rFonts w:eastAsia="Times New Roman"/>
          <w:b/>
          <w:color w:val="000000"/>
        </w:rPr>
        <w:t xml:space="preserve"> or </w:t>
      </w:r>
      <w:r w:rsidR="00491912" w:rsidRPr="004C4C78">
        <w:rPr>
          <w:rFonts w:eastAsia="Times New Roman"/>
          <w:b/>
          <w:color w:val="000000"/>
          <w:highlight w:val="yellow"/>
        </w:rPr>
        <w:t>[Post-Traumatic Disorder]</w:t>
      </w:r>
    </w:p>
    <w:p w14:paraId="73E95545" w14:textId="5C5EA79B" w:rsidR="0044743E" w:rsidRPr="00955C77" w:rsidRDefault="0014749D" w:rsidP="000D5949">
      <w:pPr>
        <w:pStyle w:val="FootnoteText"/>
        <w:spacing w:line="480" w:lineRule="auto"/>
        <w:rPr>
          <w:rFonts w:ascii="Times New Roman" w:eastAsia="Times New Roman" w:hAnsi="Times New Roman" w:cs="Times New Roman"/>
          <w:sz w:val="24"/>
          <w:szCs w:val="24"/>
        </w:rPr>
      </w:pPr>
      <w:r w:rsidRPr="004C4C78">
        <w:rPr>
          <w:rFonts w:ascii="Times New Roman" w:eastAsia="Times New Roman" w:hAnsi="Times New Roman" w:cs="Times New Roman"/>
          <w:sz w:val="24"/>
          <w:szCs w:val="24"/>
        </w:rPr>
        <w:t xml:space="preserve">  </w:t>
      </w:r>
      <w:r w:rsidR="00D7389D" w:rsidRPr="004C4C78">
        <w:rPr>
          <w:rFonts w:ascii="Times New Roman" w:eastAsia="Times New Roman" w:hAnsi="Times New Roman" w:cs="Times New Roman"/>
          <w:sz w:val="24"/>
          <w:szCs w:val="24"/>
        </w:rPr>
        <w:tab/>
      </w:r>
      <w:r w:rsidR="00491912" w:rsidRPr="004C4C78">
        <w:rPr>
          <w:rFonts w:ascii="Times New Roman" w:eastAsia="Times New Roman" w:hAnsi="Times New Roman" w:cs="Times New Roman"/>
          <w:sz w:val="24"/>
          <w:szCs w:val="24"/>
        </w:rPr>
        <w:t xml:space="preserve">Mood disorders are </w:t>
      </w:r>
      <w:r w:rsidR="00491912" w:rsidRPr="00955C77">
        <w:rPr>
          <w:rFonts w:ascii="Times New Roman" w:eastAsia="Times New Roman" w:hAnsi="Times New Roman" w:cs="Times New Roman"/>
          <w:sz w:val="24"/>
          <w:szCs w:val="24"/>
        </w:rPr>
        <w:t xml:space="preserve">mental health illnesses characterized by changes to one’s emotional state. </w:t>
      </w:r>
      <w:r w:rsidR="00940AE8" w:rsidRPr="00955C77">
        <w:rPr>
          <w:rFonts w:ascii="Times New Roman" w:eastAsia="Times New Roman" w:hAnsi="Times New Roman" w:cs="Times New Roman"/>
          <w:i/>
          <w:sz w:val="24"/>
          <w:szCs w:val="24"/>
        </w:rPr>
        <w:t xml:space="preserve">See </w:t>
      </w:r>
      <w:r w:rsidR="003C79EA" w:rsidRPr="00955C77">
        <w:rPr>
          <w:rFonts w:ascii="Times New Roman" w:eastAsia="Times New Roman" w:hAnsi="Times New Roman" w:cs="Times New Roman"/>
          <w:sz w:val="24"/>
          <w:szCs w:val="24"/>
        </w:rPr>
        <w:t xml:space="preserve">World Health Organization, </w:t>
      </w:r>
      <w:r w:rsidR="00940AE8" w:rsidRPr="00955C77">
        <w:rPr>
          <w:rFonts w:ascii="Times New Roman" w:eastAsia="Times New Roman" w:hAnsi="Times New Roman" w:cs="Times New Roman"/>
          <w:i/>
          <w:sz w:val="24"/>
          <w:szCs w:val="24"/>
        </w:rPr>
        <w:t>Int’l Statistical Classification of Diseases and Related Health Problems</w:t>
      </w:r>
      <w:r w:rsidR="00940AE8" w:rsidRPr="00955C77">
        <w:rPr>
          <w:rFonts w:ascii="Times New Roman" w:eastAsia="Times New Roman" w:hAnsi="Times New Roman" w:cs="Times New Roman"/>
          <w:sz w:val="24"/>
          <w:szCs w:val="24"/>
        </w:rPr>
        <w:t xml:space="preserve">, </w:t>
      </w:r>
      <w:r w:rsidR="00804B3E" w:rsidRPr="00955C77">
        <w:rPr>
          <w:rFonts w:ascii="Times New Roman" w:eastAsia="Times New Roman" w:hAnsi="Times New Roman" w:cs="Times New Roman"/>
          <w:sz w:val="24"/>
          <w:szCs w:val="24"/>
        </w:rPr>
        <w:t xml:space="preserve">10th </w:t>
      </w:r>
      <w:r w:rsidR="003C79EA" w:rsidRPr="00955C77">
        <w:rPr>
          <w:rFonts w:ascii="Times New Roman" w:eastAsia="Times New Roman" w:hAnsi="Times New Roman" w:cs="Times New Roman"/>
          <w:sz w:val="24"/>
          <w:szCs w:val="24"/>
        </w:rPr>
        <w:t>Revision</w:t>
      </w:r>
      <w:r w:rsidR="00270440" w:rsidRPr="00955C77">
        <w:rPr>
          <w:rFonts w:ascii="Times New Roman" w:eastAsia="Times New Roman" w:hAnsi="Times New Roman" w:cs="Times New Roman"/>
          <w:sz w:val="24"/>
          <w:szCs w:val="24"/>
        </w:rPr>
        <w:t xml:space="preserve"> (2016)</w:t>
      </w:r>
      <w:r w:rsidR="003C79EA" w:rsidRPr="00955C77">
        <w:rPr>
          <w:rFonts w:ascii="Times New Roman" w:eastAsia="Times New Roman" w:hAnsi="Times New Roman" w:cs="Times New Roman"/>
          <w:sz w:val="24"/>
          <w:szCs w:val="24"/>
        </w:rPr>
        <w:t>, http://apps.who.int/classifications/icd10/browse/2016/en#/F30-F39</w:t>
      </w:r>
      <w:r w:rsidR="00804B3E" w:rsidRPr="00955C77">
        <w:rPr>
          <w:rFonts w:ascii="Times New Roman" w:eastAsia="Times New Roman" w:hAnsi="Times New Roman" w:cs="Times New Roman"/>
          <w:sz w:val="24"/>
          <w:szCs w:val="24"/>
        </w:rPr>
        <w:t xml:space="preserve">. </w:t>
      </w:r>
      <w:r w:rsidR="00A46935" w:rsidRPr="00955C77">
        <w:rPr>
          <w:rFonts w:ascii="Times New Roman" w:eastAsia="Times New Roman" w:hAnsi="Times New Roman" w:cs="Times New Roman"/>
          <w:sz w:val="24"/>
          <w:szCs w:val="24"/>
        </w:rPr>
        <w:t>M</w:t>
      </w:r>
      <w:r w:rsidR="00D9231C" w:rsidRPr="00955C77">
        <w:rPr>
          <w:rFonts w:ascii="Times New Roman" w:eastAsia="Times New Roman" w:hAnsi="Times New Roman" w:cs="Times New Roman"/>
          <w:sz w:val="24"/>
          <w:szCs w:val="24"/>
        </w:rPr>
        <w:t xml:space="preserve">ood </w:t>
      </w:r>
      <w:r w:rsidR="00303F23" w:rsidRPr="00955C77">
        <w:rPr>
          <w:rFonts w:ascii="Times New Roman" w:eastAsia="Times New Roman" w:hAnsi="Times New Roman" w:cs="Times New Roman"/>
          <w:sz w:val="24"/>
          <w:szCs w:val="24"/>
        </w:rPr>
        <w:t>disorders</w:t>
      </w:r>
      <w:r w:rsidR="00D9231C" w:rsidRPr="00955C77">
        <w:rPr>
          <w:rFonts w:ascii="Times New Roman" w:eastAsia="Times New Roman" w:hAnsi="Times New Roman" w:cs="Times New Roman"/>
          <w:sz w:val="24"/>
          <w:szCs w:val="24"/>
        </w:rPr>
        <w:t xml:space="preserve"> </w:t>
      </w:r>
      <w:r w:rsidR="00A46935" w:rsidRPr="00955C77">
        <w:rPr>
          <w:rFonts w:ascii="Times New Roman" w:eastAsia="Times New Roman" w:hAnsi="Times New Roman" w:cs="Times New Roman"/>
          <w:sz w:val="24"/>
          <w:szCs w:val="24"/>
        </w:rPr>
        <w:t xml:space="preserve">include </w:t>
      </w:r>
      <w:r w:rsidR="00A46935" w:rsidRPr="00955C77">
        <w:rPr>
          <w:rFonts w:ascii="Times New Roman" w:eastAsia="Times New Roman" w:hAnsi="Times New Roman" w:cs="Times New Roman"/>
          <w:sz w:val="24"/>
          <w:szCs w:val="24"/>
        </w:rPr>
        <w:lastRenderedPageBreak/>
        <w:t xml:space="preserve">mental health illnesses like depression and bipolar disorder. Post-traumatic stress disorder is </w:t>
      </w:r>
      <w:r w:rsidR="00350658" w:rsidRPr="00955C77">
        <w:rPr>
          <w:rFonts w:ascii="Times New Roman" w:eastAsia="Times New Roman" w:hAnsi="Times New Roman" w:cs="Times New Roman"/>
          <w:sz w:val="24"/>
          <w:szCs w:val="24"/>
        </w:rPr>
        <w:t>“</w:t>
      </w:r>
      <w:r w:rsidR="00A46935" w:rsidRPr="00955C77">
        <w:rPr>
          <w:rFonts w:ascii="Times New Roman" w:eastAsia="Times New Roman" w:hAnsi="Times New Roman" w:cs="Times New Roman"/>
          <w:sz w:val="24"/>
          <w:szCs w:val="24"/>
        </w:rPr>
        <w:t xml:space="preserve">a delayed or </w:t>
      </w:r>
      <w:r w:rsidR="008A30B4" w:rsidRPr="00955C77">
        <w:rPr>
          <w:rFonts w:ascii="Times New Roman" w:eastAsia="Times New Roman" w:hAnsi="Times New Roman" w:cs="Times New Roman"/>
          <w:sz w:val="24"/>
          <w:szCs w:val="24"/>
        </w:rPr>
        <w:t>protracted response to a stressful event</w:t>
      </w:r>
      <w:r w:rsidR="009573CF" w:rsidRPr="00955C77">
        <w:rPr>
          <w:rFonts w:ascii="Times New Roman" w:eastAsia="Times New Roman" w:hAnsi="Times New Roman" w:cs="Times New Roman"/>
          <w:sz w:val="24"/>
          <w:szCs w:val="24"/>
        </w:rPr>
        <w:t xml:space="preserve"> or situation of an exceptionally threatening or catastrophic nature, which is likely to cause pervasive distress in almost anyone.” World Health Organization, </w:t>
      </w:r>
      <w:r w:rsidR="009573CF" w:rsidRPr="00955C77">
        <w:rPr>
          <w:rFonts w:ascii="Times New Roman" w:eastAsia="Times New Roman" w:hAnsi="Times New Roman" w:cs="Times New Roman"/>
          <w:i/>
          <w:sz w:val="24"/>
          <w:szCs w:val="24"/>
        </w:rPr>
        <w:t>Int</w:t>
      </w:r>
      <w:r w:rsidR="00350658" w:rsidRPr="00955C77">
        <w:rPr>
          <w:rFonts w:ascii="Times New Roman" w:eastAsia="Times New Roman" w:hAnsi="Times New Roman" w:cs="Times New Roman"/>
          <w:i/>
          <w:sz w:val="24"/>
          <w:szCs w:val="24"/>
        </w:rPr>
        <w:t>’</w:t>
      </w:r>
      <w:r w:rsidR="009573CF" w:rsidRPr="00955C77">
        <w:rPr>
          <w:rFonts w:ascii="Times New Roman" w:eastAsia="Times New Roman" w:hAnsi="Times New Roman" w:cs="Times New Roman"/>
          <w:i/>
          <w:sz w:val="24"/>
          <w:szCs w:val="24"/>
        </w:rPr>
        <w:t xml:space="preserve">l </w:t>
      </w:r>
      <w:r w:rsidR="00350658" w:rsidRPr="00955C77">
        <w:rPr>
          <w:rFonts w:ascii="Times New Roman" w:eastAsia="Times New Roman" w:hAnsi="Times New Roman" w:cs="Times New Roman"/>
          <w:i/>
          <w:sz w:val="24"/>
          <w:szCs w:val="24"/>
        </w:rPr>
        <w:t>Statistical Classification of Diseases and Related Health Problems</w:t>
      </w:r>
      <w:r w:rsidR="00350658" w:rsidRPr="00955C77">
        <w:rPr>
          <w:rFonts w:ascii="Times New Roman" w:eastAsia="Times New Roman" w:hAnsi="Times New Roman" w:cs="Times New Roman"/>
          <w:sz w:val="24"/>
          <w:szCs w:val="24"/>
        </w:rPr>
        <w:t xml:space="preserve">, 10th Revision (2016), http://apps.who.int/classifications/icd10/browse/2016/en#/F40-F48. </w:t>
      </w:r>
      <w:r w:rsidR="000504B2" w:rsidRPr="00955C77">
        <w:rPr>
          <w:rFonts w:ascii="Times New Roman" w:eastAsia="Times New Roman" w:hAnsi="Times New Roman" w:cs="Times New Roman"/>
          <w:sz w:val="24"/>
          <w:szCs w:val="24"/>
        </w:rPr>
        <w:t xml:space="preserve">An estimated 360 million people in the world have either depression or </w:t>
      </w:r>
      <w:r w:rsidR="00462ACA" w:rsidRPr="00955C77">
        <w:rPr>
          <w:rFonts w:ascii="Times New Roman" w:eastAsia="Times New Roman" w:hAnsi="Times New Roman" w:cs="Times New Roman"/>
          <w:sz w:val="24"/>
          <w:szCs w:val="24"/>
        </w:rPr>
        <w:t>bipolar disorder</w:t>
      </w:r>
      <w:r w:rsidR="000504B2" w:rsidRPr="00955C77">
        <w:rPr>
          <w:rFonts w:ascii="Times New Roman" w:eastAsia="Times New Roman" w:hAnsi="Times New Roman" w:cs="Times New Roman"/>
          <w:sz w:val="24"/>
          <w:szCs w:val="24"/>
        </w:rPr>
        <w:t xml:space="preserve">. </w:t>
      </w:r>
    </w:p>
    <w:p w14:paraId="31C1CE87" w14:textId="6844B170" w:rsidR="00A67B34" w:rsidRPr="004C4C78" w:rsidRDefault="00543B0B" w:rsidP="000D5949">
      <w:pPr>
        <w:pStyle w:val="FootnoteText"/>
        <w:spacing w:line="480" w:lineRule="auto"/>
        <w:rPr>
          <w:rFonts w:ascii="Times New Roman" w:eastAsia="Times New Roman" w:hAnsi="Times New Roman" w:cs="Times New Roman"/>
          <w:sz w:val="24"/>
          <w:szCs w:val="24"/>
        </w:rPr>
      </w:pPr>
      <w:r w:rsidRPr="00955C77">
        <w:rPr>
          <w:rFonts w:ascii="Times New Roman" w:eastAsia="Times New Roman" w:hAnsi="Times New Roman" w:cs="Times New Roman"/>
          <w:i/>
          <w:sz w:val="24"/>
          <w:szCs w:val="24"/>
        </w:rPr>
        <w:t>Mental Health Disorders</w:t>
      </w:r>
      <w:r w:rsidRPr="00955C77">
        <w:rPr>
          <w:rFonts w:ascii="Times New Roman" w:eastAsia="Times New Roman" w:hAnsi="Times New Roman" w:cs="Times New Roman"/>
          <w:sz w:val="24"/>
          <w:szCs w:val="24"/>
        </w:rPr>
        <w:t xml:space="preserve">, </w:t>
      </w:r>
      <w:r w:rsidR="00E56CBE" w:rsidRPr="00955C77">
        <w:rPr>
          <w:rFonts w:ascii="Times New Roman" w:eastAsia="Times New Roman" w:hAnsi="Times New Roman" w:cs="Times New Roman"/>
          <w:sz w:val="24"/>
          <w:szCs w:val="24"/>
        </w:rPr>
        <w:t>World Health Organization</w:t>
      </w:r>
      <w:r w:rsidR="0044743E" w:rsidRPr="00955C77">
        <w:rPr>
          <w:rFonts w:ascii="Times New Roman" w:eastAsia="Times New Roman" w:hAnsi="Times New Roman" w:cs="Times New Roman"/>
          <w:sz w:val="24"/>
          <w:szCs w:val="24"/>
        </w:rPr>
        <w:t xml:space="preserve"> (2017)</w:t>
      </w:r>
      <w:r w:rsidR="00E56CBE" w:rsidRPr="00955C77">
        <w:rPr>
          <w:rFonts w:ascii="Times New Roman" w:eastAsia="Times New Roman" w:hAnsi="Times New Roman" w:cs="Times New Roman"/>
          <w:sz w:val="24"/>
          <w:szCs w:val="24"/>
        </w:rPr>
        <w:t>,</w:t>
      </w:r>
      <w:r w:rsidR="0044743E" w:rsidRPr="004C4C78">
        <w:rPr>
          <w:rFonts w:ascii="Times New Roman" w:eastAsia="Times New Roman" w:hAnsi="Times New Roman" w:cs="Times New Roman"/>
          <w:sz w:val="24"/>
          <w:szCs w:val="24"/>
        </w:rPr>
        <w:t xml:space="preserve"> </w:t>
      </w:r>
      <w:r w:rsidRPr="004C4C78">
        <w:rPr>
          <w:rFonts w:ascii="Times New Roman" w:eastAsia="Times New Roman" w:hAnsi="Times New Roman" w:cs="Times New Roman"/>
          <w:sz w:val="24"/>
          <w:szCs w:val="24"/>
        </w:rPr>
        <w:t>http://www.who.int/mediacentre/factsheets/fs396/en/.</w:t>
      </w:r>
      <w:r w:rsidR="00643276" w:rsidRPr="004C4C78">
        <w:rPr>
          <w:rFonts w:ascii="Times New Roman" w:eastAsia="Times New Roman" w:hAnsi="Times New Roman" w:cs="Times New Roman"/>
          <w:sz w:val="24"/>
          <w:szCs w:val="24"/>
        </w:rPr>
        <w:t xml:space="preserve"> </w:t>
      </w:r>
      <w:r w:rsidR="00462ACA" w:rsidRPr="004C4C78">
        <w:rPr>
          <w:rFonts w:ascii="Times New Roman" w:eastAsia="Times New Roman" w:hAnsi="Times New Roman" w:cs="Times New Roman"/>
          <w:sz w:val="24"/>
          <w:szCs w:val="24"/>
        </w:rPr>
        <w:t xml:space="preserve"> </w:t>
      </w:r>
      <w:r w:rsidR="00CA113B" w:rsidRPr="004C4C78">
        <w:rPr>
          <w:rFonts w:ascii="Times New Roman" w:eastAsia="Times New Roman" w:hAnsi="Times New Roman" w:cs="Times New Roman"/>
          <w:sz w:val="24"/>
          <w:szCs w:val="24"/>
        </w:rPr>
        <w:t xml:space="preserve">Additionally, </w:t>
      </w:r>
      <w:r w:rsidR="00DC1427" w:rsidRPr="004C4C78">
        <w:rPr>
          <w:rFonts w:ascii="Times New Roman" w:eastAsia="Times New Roman" w:hAnsi="Times New Roman" w:cs="Times New Roman"/>
          <w:sz w:val="24"/>
          <w:szCs w:val="24"/>
        </w:rPr>
        <w:t xml:space="preserve">between two to ten percent </w:t>
      </w:r>
      <w:r w:rsidR="00515277" w:rsidRPr="004C4C78">
        <w:rPr>
          <w:rFonts w:ascii="Times New Roman" w:eastAsia="Times New Roman" w:hAnsi="Times New Roman" w:cs="Times New Roman"/>
          <w:sz w:val="24"/>
          <w:szCs w:val="24"/>
        </w:rPr>
        <w:t xml:space="preserve">of the population in surveyed countries </w:t>
      </w:r>
      <w:r w:rsidR="00350658" w:rsidRPr="004C4C78">
        <w:rPr>
          <w:rFonts w:ascii="Times New Roman" w:eastAsia="Times New Roman" w:hAnsi="Times New Roman" w:cs="Times New Roman"/>
          <w:sz w:val="24"/>
          <w:szCs w:val="24"/>
        </w:rPr>
        <w:t>currently has</w:t>
      </w:r>
      <w:r w:rsidR="00515277" w:rsidRPr="004C4C78">
        <w:rPr>
          <w:rFonts w:ascii="Times New Roman" w:eastAsia="Times New Roman" w:hAnsi="Times New Roman" w:cs="Times New Roman"/>
          <w:sz w:val="24"/>
          <w:szCs w:val="24"/>
        </w:rPr>
        <w:t xml:space="preserve"> PTSD</w:t>
      </w:r>
      <w:r w:rsidR="00CA113B" w:rsidRPr="004C4C78">
        <w:rPr>
          <w:rFonts w:ascii="Times New Roman" w:eastAsia="Times New Roman" w:hAnsi="Times New Roman" w:cs="Times New Roman"/>
          <w:sz w:val="24"/>
          <w:szCs w:val="24"/>
        </w:rPr>
        <w:t xml:space="preserve">. </w:t>
      </w:r>
      <w:proofErr w:type="spellStart"/>
      <w:r w:rsidR="004A2E29" w:rsidRPr="004C4C78">
        <w:rPr>
          <w:rFonts w:ascii="Times New Roman" w:eastAsia="Times New Roman" w:hAnsi="Times New Roman" w:cs="Times New Roman"/>
          <w:sz w:val="24"/>
          <w:szCs w:val="24"/>
        </w:rPr>
        <w:t>Lukoye</w:t>
      </w:r>
      <w:proofErr w:type="spellEnd"/>
      <w:r w:rsidR="004A2E29" w:rsidRPr="004C4C78">
        <w:rPr>
          <w:rFonts w:ascii="Times New Roman" w:eastAsia="Times New Roman" w:hAnsi="Times New Roman" w:cs="Times New Roman"/>
          <w:sz w:val="24"/>
          <w:szCs w:val="24"/>
        </w:rPr>
        <w:t xml:space="preserve"> </w:t>
      </w:r>
      <w:proofErr w:type="spellStart"/>
      <w:r w:rsidR="004A2E29" w:rsidRPr="004C4C78">
        <w:rPr>
          <w:rFonts w:ascii="Times New Roman" w:eastAsia="Times New Roman" w:hAnsi="Times New Roman" w:cs="Times New Roman"/>
          <w:sz w:val="24"/>
          <w:szCs w:val="24"/>
        </w:rPr>
        <w:t>Atwoli</w:t>
      </w:r>
      <w:proofErr w:type="spellEnd"/>
      <w:r w:rsidR="004A2E29" w:rsidRPr="004C4C78">
        <w:rPr>
          <w:rFonts w:ascii="Times New Roman" w:eastAsia="Times New Roman" w:hAnsi="Times New Roman" w:cs="Times New Roman"/>
          <w:sz w:val="24"/>
          <w:szCs w:val="24"/>
        </w:rPr>
        <w:t xml:space="preserve"> et al., </w:t>
      </w:r>
      <w:r w:rsidR="004A2E29" w:rsidRPr="004C4C78">
        <w:rPr>
          <w:rFonts w:ascii="Times New Roman" w:eastAsia="Times New Roman" w:hAnsi="Times New Roman" w:cs="Times New Roman"/>
          <w:i/>
          <w:sz w:val="24"/>
          <w:szCs w:val="24"/>
        </w:rPr>
        <w:t>Epidemiology of Posttraumatic Stress Disorder: Prevalence, Correlates and Consequences</w:t>
      </w:r>
      <w:r w:rsidR="004A2E29" w:rsidRPr="004C4C78">
        <w:rPr>
          <w:rFonts w:ascii="Times New Roman" w:eastAsia="Times New Roman" w:hAnsi="Times New Roman" w:cs="Times New Roman"/>
          <w:sz w:val="24"/>
          <w:szCs w:val="24"/>
        </w:rPr>
        <w:t>, 28 Curr</w:t>
      </w:r>
      <w:r w:rsidR="0044743E" w:rsidRPr="004C4C78">
        <w:rPr>
          <w:rFonts w:ascii="Times New Roman" w:eastAsia="Times New Roman" w:hAnsi="Times New Roman" w:cs="Times New Roman"/>
          <w:sz w:val="24"/>
          <w:szCs w:val="24"/>
        </w:rPr>
        <w:t xml:space="preserve">ent </w:t>
      </w:r>
      <w:r w:rsidR="004A2E29" w:rsidRPr="004C4C78">
        <w:rPr>
          <w:rFonts w:ascii="Times New Roman" w:eastAsia="Times New Roman" w:hAnsi="Times New Roman" w:cs="Times New Roman"/>
          <w:sz w:val="24"/>
          <w:szCs w:val="24"/>
        </w:rPr>
        <w:t>Opin</w:t>
      </w:r>
      <w:r w:rsidR="00ED1D78" w:rsidRPr="004C4C78">
        <w:rPr>
          <w:rFonts w:ascii="Times New Roman" w:eastAsia="Times New Roman" w:hAnsi="Times New Roman" w:cs="Times New Roman"/>
          <w:sz w:val="24"/>
          <w:szCs w:val="24"/>
        </w:rPr>
        <w:t xml:space="preserve">ion </w:t>
      </w:r>
      <w:r w:rsidR="004A2E29" w:rsidRPr="004C4C78">
        <w:rPr>
          <w:rFonts w:ascii="Times New Roman" w:eastAsia="Times New Roman" w:hAnsi="Times New Roman" w:cs="Times New Roman"/>
          <w:sz w:val="24"/>
          <w:szCs w:val="24"/>
        </w:rPr>
        <w:t xml:space="preserve">Psychiatry 307 (2015). </w:t>
      </w:r>
      <w:r w:rsidR="00821C41" w:rsidRPr="004C4C78">
        <w:rPr>
          <w:rFonts w:ascii="Times New Roman" w:eastAsia="Times New Roman" w:hAnsi="Times New Roman" w:cs="Times New Roman"/>
          <w:sz w:val="24"/>
          <w:szCs w:val="24"/>
        </w:rPr>
        <w:t xml:space="preserve"> </w:t>
      </w:r>
      <w:r w:rsidR="00350658" w:rsidRPr="004C4C78">
        <w:rPr>
          <w:rFonts w:ascii="Times New Roman" w:eastAsia="Times New Roman" w:hAnsi="Times New Roman" w:cs="Times New Roman"/>
          <w:sz w:val="24"/>
          <w:szCs w:val="24"/>
        </w:rPr>
        <w:t xml:space="preserve">While the specific manifestations of these mental health illnesses may be different, </w:t>
      </w:r>
      <w:r w:rsidR="008D404A" w:rsidRPr="004C4C78">
        <w:rPr>
          <w:rFonts w:ascii="Times New Roman" w:eastAsia="Times New Roman" w:hAnsi="Times New Roman" w:cs="Times New Roman"/>
          <w:sz w:val="24"/>
          <w:szCs w:val="24"/>
        </w:rPr>
        <w:t xml:space="preserve">both mood disorders and PTSD lead to </w:t>
      </w:r>
      <w:r w:rsidR="005C1A73" w:rsidRPr="004C4C78">
        <w:rPr>
          <w:rFonts w:ascii="Times New Roman" w:eastAsia="Times New Roman" w:hAnsi="Times New Roman" w:cs="Times New Roman"/>
          <w:sz w:val="24"/>
          <w:szCs w:val="24"/>
        </w:rPr>
        <w:t xml:space="preserve">two difficulties relevant to court proceedings: flat affect and </w:t>
      </w:r>
      <w:proofErr w:type="spellStart"/>
      <w:r w:rsidR="005C1A73" w:rsidRPr="004C4C78">
        <w:rPr>
          <w:rFonts w:ascii="Times New Roman" w:eastAsia="Times New Roman" w:hAnsi="Times New Roman" w:cs="Times New Roman"/>
          <w:sz w:val="24"/>
          <w:szCs w:val="24"/>
        </w:rPr>
        <w:t>overgeneral</w:t>
      </w:r>
      <w:proofErr w:type="spellEnd"/>
      <w:r w:rsidR="005C1A73" w:rsidRPr="004C4C78">
        <w:rPr>
          <w:rFonts w:ascii="Times New Roman" w:eastAsia="Times New Roman" w:hAnsi="Times New Roman" w:cs="Times New Roman"/>
          <w:sz w:val="24"/>
          <w:szCs w:val="24"/>
        </w:rPr>
        <w:t xml:space="preserve"> memory</w:t>
      </w:r>
      <w:r w:rsidR="008D404A" w:rsidRPr="004C4C78">
        <w:rPr>
          <w:rFonts w:ascii="Times New Roman" w:eastAsia="Times New Roman" w:hAnsi="Times New Roman" w:cs="Times New Roman"/>
          <w:sz w:val="24"/>
          <w:szCs w:val="24"/>
        </w:rPr>
        <w:t xml:space="preserve">.  </w:t>
      </w:r>
    </w:p>
    <w:p w14:paraId="731CD23A" w14:textId="2F7F3D51" w:rsidR="000A4AB4" w:rsidRPr="004C4C78" w:rsidRDefault="000A4AB4" w:rsidP="000D5949">
      <w:pPr>
        <w:pStyle w:val="FootnoteText"/>
        <w:spacing w:line="480" w:lineRule="auto"/>
        <w:rPr>
          <w:rFonts w:ascii="Times New Roman" w:eastAsia="Times New Roman" w:hAnsi="Times New Roman" w:cs="Times New Roman"/>
          <w:i/>
          <w:sz w:val="24"/>
          <w:szCs w:val="24"/>
        </w:rPr>
      </w:pPr>
      <w:r w:rsidRPr="004C4C78">
        <w:rPr>
          <w:rFonts w:ascii="Times New Roman" w:eastAsia="Times New Roman" w:hAnsi="Times New Roman" w:cs="Times New Roman"/>
          <w:sz w:val="24"/>
          <w:szCs w:val="24"/>
        </w:rPr>
        <w:tab/>
        <w:t xml:space="preserve">People </w:t>
      </w:r>
      <w:r w:rsidR="00FF6D13" w:rsidRPr="004C4C78">
        <w:rPr>
          <w:rFonts w:ascii="Times New Roman" w:eastAsia="Times New Roman" w:hAnsi="Times New Roman" w:cs="Times New Roman"/>
          <w:sz w:val="24"/>
          <w:szCs w:val="24"/>
        </w:rPr>
        <w:t xml:space="preserve">with mood disorders or PTSD </w:t>
      </w:r>
      <w:r w:rsidR="00C92DC2" w:rsidRPr="004C4C78">
        <w:rPr>
          <w:rFonts w:ascii="Times New Roman" w:eastAsia="Times New Roman" w:hAnsi="Times New Roman" w:cs="Times New Roman"/>
          <w:sz w:val="24"/>
          <w:szCs w:val="24"/>
        </w:rPr>
        <w:t>tend to suffer from</w:t>
      </w:r>
      <w:r w:rsidR="00674DC3" w:rsidRPr="004C4C78">
        <w:rPr>
          <w:rFonts w:ascii="Times New Roman" w:eastAsia="Times New Roman" w:hAnsi="Times New Roman" w:cs="Times New Roman"/>
          <w:sz w:val="24"/>
          <w:szCs w:val="24"/>
        </w:rPr>
        <w:t xml:space="preserve"> emotional numbing, </w:t>
      </w:r>
      <w:r w:rsidR="001B2C01" w:rsidRPr="004C4C78">
        <w:rPr>
          <w:rFonts w:ascii="Times New Roman" w:eastAsia="Times New Roman" w:hAnsi="Times New Roman" w:cs="Times New Roman"/>
          <w:sz w:val="24"/>
          <w:szCs w:val="24"/>
        </w:rPr>
        <w:t xml:space="preserve">which </w:t>
      </w:r>
      <w:proofErr w:type="gramStart"/>
      <w:r w:rsidR="001B2C01" w:rsidRPr="004C4C78">
        <w:rPr>
          <w:rFonts w:ascii="Times New Roman" w:eastAsia="Times New Roman" w:hAnsi="Times New Roman" w:cs="Times New Roman"/>
          <w:sz w:val="24"/>
          <w:szCs w:val="24"/>
        </w:rPr>
        <w:t>is characterized</w:t>
      </w:r>
      <w:proofErr w:type="gramEnd"/>
      <w:r w:rsidR="001B2C01" w:rsidRPr="004C4C78">
        <w:rPr>
          <w:rFonts w:ascii="Times New Roman" w:eastAsia="Times New Roman" w:hAnsi="Times New Roman" w:cs="Times New Roman"/>
          <w:sz w:val="24"/>
          <w:szCs w:val="24"/>
        </w:rPr>
        <w:t xml:space="preserve"> by diminished or blunted emotional respo</w:t>
      </w:r>
      <w:r w:rsidR="000C5726" w:rsidRPr="004C4C78">
        <w:rPr>
          <w:rFonts w:ascii="Times New Roman" w:eastAsia="Times New Roman" w:hAnsi="Times New Roman" w:cs="Times New Roman"/>
          <w:sz w:val="24"/>
          <w:szCs w:val="24"/>
        </w:rPr>
        <w:t>nse</w:t>
      </w:r>
      <w:r w:rsidR="001B2C01" w:rsidRPr="004C4C78">
        <w:rPr>
          <w:rFonts w:ascii="Times New Roman" w:eastAsia="Times New Roman" w:hAnsi="Times New Roman" w:cs="Times New Roman"/>
          <w:sz w:val="24"/>
          <w:szCs w:val="24"/>
        </w:rPr>
        <w:t>,</w:t>
      </w:r>
      <w:r w:rsidR="000C5726" w:rsidRPr="004C4C78">
        <w:rPr>
          <w:rFonts w:ascii="Times New Roman" w:eastAsia="Times New Roman" w:hAnsi="Times New Roman" w:cs="Times New Roman"/>
          <w:sz w:val="24"/>
          <w:szCs w:val="24"/>
        </w:rPr>
        <w:t xml:space="preserve"> including</w:t>
      </w:r>
      <w:r w:rsidR="00241DD6" w:rsidRPr="004C4C78">
        <w:rPr>
          <w:rFonts w:ascii="Times New Roman" w:eastAsia="Times New Roman" w:hAnsi="Times New Roman" w:cs="Times New Roman"/>
          <w:sz w:val="24"/>
          <w:szCs w:val="24"/>
        </w:rPr>
        <w:t xml:space="preserve"> flat affect. </w:t>
      </w:r>
      <w:r w:rsidR="00E10ABB" w:rsidRPr="004C4C78">
        <w:rPr>
          <w:rFonts w:ascii="Times New Roman" w:eastAsia="Times New Roman" w:hAnsi="Times New Roman" w:cs="Times New Roman"/>
          <w:sz w:val="24"/>
          <w:szCs w:val="24"/>
        </w:rPr>
        <w:t xml:space="preserve">Richard L. </w:t>
      </w:r>
      <w:proofErr w:type="spellStart"/>
      <w:r w:rsidR="00E10ABB" w:rsidRPr="004C4C78">
        <w:rPr>
          <w:rFonts w:ascii="Times New Roman" w:eastAsia="Times New Roman" w:hAnsi="Times New Roman" w:cs="Times New Roman"/>
          <w:sz w:val="24"/>
          <w:szCs w:val="24"/>
        </w:rPr>
        <w:t>Amdur</w:t>
      </w:r>
      <w:proofErr w:type="spellEnd"/>
      <w:r w:rsidR="001B284B" w:rsidRPr="004C4C78">
        <w:rPr>
          <w:rFonts w:ascii="Times New Roman" w:eastAsia="Times New Roman" w:hAnsi="Times New Roman" w:cs="Times New Roman"/>
          <w:sz w:val="24"/>
          <w:szCs w:val="24"/>
        </w:rPr>
        <w:t xml:space="preserve"> et al.</w:t>
      </w:r>
      <w:r w:rsidR="00E10ABB" w:rsidRPr="004C4C78">
        <w:rPr>
          <w:rFonts w:ascii="Times New Roman" w:eastAsia="Times New Roman" w:hAnsi="Times New Roman" w:cs="Times New Roman"/>
          <w:sz w:val="24"/>
          <w:szCs w:val="24"/>
        </w:rPr>
        <w:t xml:space="preserve">, </w:t>
      </w:r>
      <w:r w:rsidR="00E10ABB" w:rsidRPr="004C4C78">
        <w:rPr>
          <w:rFonts w:ascii="Times New Roman" w:eastAsia="Times New Roman" w:hAnsi="Times New Roman" w:cs="Times New Roman"/>
          <w:i/>
          <w:sz w:val="24"/>
          <w:szCs w:val="24"/>
        </w:rPr>
        <w:t>Emotional Processing in Combat-Related Posttraum</w:t>
      </w:r>
      <w:r w:rsidR="00AD09FC" w:rsidRPr="004C4C78">
        <w:rPr>
          <w:rFonts w:ascii="Times New Roman" w:eastAsia="Times New Roman" w:hAnsi="Times New Roman" w:cs="Times New Roman"/>
          <w:i/>
          <w:sz w:val="24"/>
          <w:szCs w:val="24"/>
        </w:rPr>
        <w:t>a</w:t>
      </w:r>
      <w:r w:rsidR="00E10ABB" w:rsidRPr="004C4C78">
        <w:rPr>
          <w:rFonts w:ascii="Times New Roman" w:eastAsia="Times New Roman" w:hAnsi="Times New Roman" w:cs="Times New Roman"/>
          <w:i/>
          <w:sz w:val="24"/>
          <w:szCs w:val="24"/>
        </w:rPr>
        <w:t xml:space="preserve">tic Stress Disorder: A Comparison </w:t>
      </w:r>
      <w:r w:rsidR="002A4294">
        <w:rPr>
          <w:rFonts w:ascii="Times New Roman" w:eastAsia="Times New Roman" w:hAnsi="Times New Roman" w:cs="Times New Roman"/>
          <w:i/>
          <w:sz w:val="24"/>
          <w:szCs w:val="24"/>
        </w:rPr>
        <w:t>w</w:t>
      </w:r>
      <w:r w:rsidR="00E10ABB" w:rsidRPr="004C4C78">
        <w:rPr>
          <w:rFonts w:ascii="Times New Roman" w:eastAsia="Times New Roman" w:hAnsi="Times New Roman" w:cs="Times New Roman"/>
          <w:i/>
          <w:sz w:val="24"/>
          <w:szCs w:val="24"/>
        </w:rPr>
        <w:t>ith Traumatized and Normal Controls</w:t>
      </w:r>
      <w:r w:rsidR="00E10ABB" w:rsidRPr="004C4C78">
        <w:rPr>
          <w:rFonts w:ascii="Times New Roman" w:eastAsia="Times New Roman" w:hAnsi="Times New Roman" w:cs="Times New Roman"/>
          <w:sz w:val="24"/>
          <w:szCs w:val="24"/>
        </w:rPr>
        <w:t xml:space="preserve">, 14 J. Anxiety Disorders 219, </w:t>
      </w:r>
      <w:r w:rsidR="001B284B" w:rsidRPr="004C4C78">
        <w:rPr>
          <w:rFonts w:ascii="Times New Roman" w:eastAsia="Times New Roman" w:hAnsi="Times New Roman" w:cs="Times New Roman"/>
          <w:sz w:val="24"/>
          <w:szCs w:val="24"/>
        </w:rPr>
        <w:t>220</w:t>
      </w:r>
      <w:r w:rsidR="00E10ABB" w:rsidRPr="004C4C78">
        <w:rPr>
          <w:rFonts w:ascii="Times New Roman" w:eastAsia="Times New Roman" w:hAnsi="Times New Roman" w:cs="Times New Roman"/>
          <w:sz w:val="24"/>
          <w:szCs w:val="24"/>
        </w:rPr>
        <w:t xml:space="preserve"> (2000)</w:t>
      </w:r>
      <w:proofErr w:type="gramStart"/>
      <w:r w:rsidR="0065087C" w:rsidRPr="004C4C78">
        <w:rPr>
          <w:rFonts w:ascii="Times New Roman" w:eastAsia="Times New Roman" w:hAnsi="Times New Roman" w:cs="Times New Roman"/>
          <w:sz w:val="24"/>
          <w:szCs w:val="24"/>
        </w:rPr>
        <w:t>;</w:t>
      </w:r>
      <w:proofErr w:type="gramEnd"/>
      <w:r w:rsidR="0065087C" w:rsidRPr="004C4C78">
        <w:rPr>
          <w:rFonts w:ascii="Times New Roman" w:eastAsia="Times New Roman" w:hAnsi="Times New Roman" w:cs="Times New Roman"/>
          <w:sz w:val="24"/>
          <w:szCs w:val="24"/>
        </w:rPr>
        <w:t xml:space="preserve"> </w:t>
      </w:r>
      <w:r w:rsidR="00095C23" w:rsidRPr="004C4C78">
        <w:rPr>
          <w:rFonts w:ascii="Times New Roman" w:eastAsia="Times New Roman" w:hAnsi="Times New Roman" w:cs="Times New Roman"/>
          <w:sz w:val="24"/>
          <w:szCs w:val="24"/>
        </w:rPr>
        <w:t xml:space="preserve">Howard </w:t>
      </w:r>
      <w:proofErr w:type="spellStart"/>
      <w:r w:rsidR="00095C23" w:rsidRPr="004C4C78">
        <w:rPr>
          <w:rFonts w:ascii="Times New Roman" w:eastAsia="Times New Roman" w:hAnsi="Times New Roman" w:cs="Times New Roman"/>
          <w:sz w:val="24"/>
          <w:szCs w:val="24"/>
        </w:rPr>
        <w:t>Berenbaum</w:t>
      </w:r>
      <w:proofErr w:type="spellEnd"/>
      <w:r w:rsidR="00095C23" w:rsidRPr="004C4C78">
        <w:rPr>
          <w:rFonts w:ascii="Times New Roman" w:eastAsia="Times New Roman" w:hAnsi="Times New Roman" w:cs="Times New Roman"/>
          <w:sz w:val="24"/>
          <w:szCs w:val="24"/>
        </w:rPr>
        <w:t xml:space="preserve"> &amp; Thomas F. </w:t>
      </w:r>
      <w:proofErr w:type="spellStart"/>
      <w:r w:rsidR="00095C23" w:rsidRPr="004C4C78">
        <w:rPr>
          <w:rFonts w:ascii="Times New Roman" w:eastAsia="Times New Roman" w:hAnsi="Times New Roman" w:cs="Times New Roman"/>
          <w:sz w:val="24"/>
          <w:szCs w:val="24"/>
        </w:rPr>
        <w:t>Oltmanns</w:t>
      </w:r>
      <w:proofErr w:type="spellEnd"/>
      <w:r w:rsidR="00095C23" w:rsidRPr="004C4C78">
        <w:rPr>
          <w:rFonts w:ascii="Times New Roman" w:eastAsia="Times New Roman" w:hAnsi="Times New Roman" w:cs="Times New Roman"/>
          <w:sz w:val="24"/>
          <w:szCs w:val="24"/>
        </w:rPr>
        <w:t xml:space="preserve">, </w:t>
      </w:r>
      <w:r w:rsidR="00095C23" w:rsidRPr="004C4C78">
        <w:rPr>
          <w:rFonts w:ascii="Times New Roman" w:eastAsia="Times New Roman" w:hAnsi="Times New Roman" w:cs="Times New Roman"/>
          <w:i/>
          <w:sz w:val="24"/>
          <w:szCs w:val="24"/>
        </w:rPr>
        <w:t>Emotional Experience and Expression in Schizophrenia and Depression</w:t>
      </w:r>
      <w:r w:rsidR="00095C23" w:rsidRPr="004C4C78">
        <w:rPr>
          <w:rFonts w:ascii="Times New Roman" w:eastAsia="Times New Roman" w:hAnsi="Times New Roman" w:cs="Times New Roman"/>
          <w:sz w:val="24"/>
          <w:szCs w:val="24"/>
        </w:rPr>
        <w:t>, 101 J. Abnormal Psych. 37 (1992)</w:t>
      </w:r>
      <w:r w:rsidR="001B284B" w:rsidRPr="004C4C78">
        <w:rPr>
          <w:rFonts w:ascii="Times New Roman" w:eastAsia="Times New Roman" w:hAnsi="Times New Roman" w:cs="Times New Roman"/>
          <w:sz w:val="24"/>
          <w:szCs w:val="24"/>
        </w:rPr>
        <w:t xml:space="preserve">. </w:t>
      </w:r>
      <w:r w:rsidR="00004E08" w:rsidRPr="004C4C78">
        <w:rPr>
          <w:rFonts w:ascii="Times New Roman" w:eastAsia="Times New Roman" w:hAnsi="Times New Roman" w:cs="Times New Roman"/>
          <w:sz w:val="24"/>
          <w:szCs w:val="24"/>
        </w:rPr>
        <w:t xml:space="preserve">A person with a flat affect </w:t>
      </w:r>
      <w:r w:rsidR="00425394" w:rsidRPr="004C4C78">
        <w:rPr>
          <w:rFonts w:ascii="Times New Roman" w:eastAsia="Times New Roman" w:hAnsi="Times New Roman" w:cs="Times New Roman"/>
          <w:sz w:val="24"/>
          <w:szCs w:val="24"/>
        </w:rPr>
        <w:t xml:space="preserve">may speak with a monotonous voice, have limited emotional expressions, and may generally appear very apathetic. </w:t>
      </w:r>
      <w:r w:rsidR="00FF6D13" w:rsidRPr="004C4C78">
        <w:rPr>
          <w:rFonts w:ascii="Times New Roman" w:eastAsia="Times New Roman" w:hAnsi="Times New Roman" w:cs="Times New Roman"/>
          <w:sz w:val="24"/>
          <w:szCs w:val="24"/>
        </w:rPr>
        <w:t>Flat affects</w:t>
      </w:r>
      <w:r w:rsidR="000C5726" w:rsidRPr="004C4C78">
        <w:rPr>
          <w:rFonts w:ascii="Times New Roman" w:eastAsia="Times New Roman" w:hAnsi="Times New Roman" w:cs="Times New Roman"/>
          <w:sz w:val="24"/>
          <w:szCs w:val="24"/>
        </w:rPr>
        <w:t xml:space="preserve">, common in people with mood disorders or PTSD, </w:t>
      </w:r>
      <w:proofErr w:type="gramStart"/>
      <w:r w:rsidR="000C5726" w:rsidRPr="004C4C78">
        <w:rPr>
          <w:rFonts w:ascii="Times New Roman" w:eastAsia="Times New Roman" w:hAnsi="Times New Roman" w:cs="Times New Roman"/>
          <w:sz w:val="24"/>
          <w:szCs w:val="24"/>
        </w:rPr>
        <w:t>are best understood</w:t>
      </w:r>
      <w:proofErr w:type="gramEnd"/>
      <w:r w:rsidR="000C5726" w:rsidRPr="004C4C78">
        <w:rPr>
          <w:rFonts w:ascii="Times New Roman" w:eastAsia="Times New Roman" w:hAnsi="Times New Roman" w:cs="Times New Roman"/>
          <w:sz w:val="24"/>
          <w:szCs w:val="24"/>
        </w:rPr>
        <w:t xml:space="preserve"> as coping mechanisms and may not reflect how a person actually feels about what they have experienced.</w:t>
      </w:r>
      <w:r w:rsidR="003658D1" w:rsidRPr="004C4C78">
        <w:rPr>
          <w:rFonts w:ascii="Times New Roman" w:eastAsia="Times New Roman" w:hAnsi="Times New Roman" w:cs="Times New Roman"/>
          <w:sz w:val="24"/>
          <w:szCs w:val="24"/>
        </w:rPr>
        <w:t xml:space="preserve"> </w:t>
      </w:r>
      <w:r w:rsidR="00300E9C" w:rsidRPr="004C4C78">
        <w:rPr>
          <w:rFonts w:ascii="Times New Roman" w:eastAsia="Times New Roman" w:hAnsi="Times New Roman" w:cs="Times New Roman"/>
          <w:i/>
          <w:sz w:val="24"/>
          <w:szCs w:val="24"/>
        </w:rPr>
        <w:t>See generally</w:t>
      </w:r>
      <w:r w:rsidR="00300E9C" w:rsidRPr="004C4C78">
        <w:rPr>
          <w:rFonts w:ascii="Times New Roman" w:eastAsia="Times New Roman" w:hAnsi="Times New Roman" w:cs="Times New Roman"/>
          <w:sz w:val="24"/>
          <w:szCs w:val="24"/>
        </w:rPr>
        <w:t xml:space="preserve"> John W. Mason et al., </w:t>
      </w:r>
      <w:r w:rsidR="00300E9C" w:rsidRPr="004C4C78">
        <w:rPr>
          <w:rFonts w:ascii="Times New Roman" w:eastAsia="Times New Roman" w:hAnsi="Times New Roman" w:cs="Times New Roman"/>
          <w:i/>
          <w:sz w:val="24"/>
          <w:szCs w:val="24"/>
        </w:rPr>
        <w:t xml:space="preserve">Psychogenic Lowering of Urinary </w:t>
      </w:r>
      <w:r w:rsidR="00300E9C" w:rsidRPr="004C4C78">
        <w:rPr>
          <w:rFonts w:ascii="Times New Roman" w:eastAsia="Times New Roman" w:hAnsi="Times New Roman" w:cs="Times New Roman"/>
          <w:i/>
          <w:sz w:val="24"/>
          <w:szCs w:val="24"/>
        </w:rPr>
        <w:lastRenderedPageBreak/>
        <w:t xml:space="preserve">Cortisol Levels Linked to Increased Emotional </w:t>
      </w:r>
      <w:r w:rsidR="00CA6722" w:rsidRPr="004C4C78">
        <w:rPr>
          <w:rFonts w:ascii="Times New Roman" w:eastAsia="Times New Roman" w:hAnsi="Times New Roman" w:cs="Times New Roman"/>
          <w:i/>
          <w:sz w:val="24"/>
          <w:szCs w:val="24"/>
        </w:rPr>
        <w:t>Numbing and a Shame-Depressive Syndrom</w:t>
      </w:r>
      <w:r w:rsidR="00E16CEA" w:rsidRPr="004C4C78">
        <w:rPr>
          <w:rFonts w:ascii="Times New Roman" w:eastAsia="Times New Roman" w:hAnsi="Times New Roman" w:cs="Times New Roman"/>
          <w:i/>
          <w:sz w:val="24"/>
          <w:szCs w:val="24"/>
        </w:rPr>
        <w:t>e</w:t>
      </w:r>
      <w:r w:rsidR="00CA6722" w:rsidRPr="004C4C78">
        <w:rPr>
          <w:rFonts w:ascii="Times New Roman" w:eastAsia="Times New Roman" w:hAnsi="Times New Roman" w:cs="Times New Roman"/>
          <w:i/>
          <w:sz w:val="24"/>
          <w:szCs w:val="24"/>
        </w:rPr>
        <w:t xml:space="preserve"> in Combat-Related Posttraumatic Stress Disorder</w:t>
      </w:r>
      <w:r w:rsidR="00CA6722" w:rsidRPr="004C4C78">
        <w:rPr>
          <w:rFonts w:ascii="Times New Roman" w:eastAsia="Times New Roman" w:hAnsi="Times New Roman" w:cs="Times New Roman"/>
          <w:sz w:val="24"/>
          <w:szCs w:val="24"/>
        </w:rPr>
        <w:t>, 63 P</w:t>
      </w:r>
      <w:r w:rsidR="00365FBD" w:rsidRPr="004C4C78">
        <w:rPr>
          <w:rFonts w:ascii="Times New Roman" w:eastAsia="Times New Roman" w:hAnsi="Times New Roman" w:cs="Times New Roman"/>
          <w:sz w:val="24"/>
          <w:szCs w:val="24"/>
        </w:rPr>
        <w:t>sy</w:t>
      </w:r>
      <w:r w:rsidR="00CA6722" w:rsidRPr="004C4C78">
        <w:rPr>
          <w:rFonts w:ascii="Times New Roman" w:eastAsia="Times New Roman" w:hAnsi="Times New Roman" w:cs="Times New Roman"/>
          <w:sz w:val="24"/>
          <w:szCs w:val="24"/>
        </w:rPr>
        <w:t xml:space="preserve">chosomatic Medicine 387 (2001) (describing how people with PTSD initially have lower levels of the stress hormone cortisol because of extensive use of dissociative techniques, including emotional </w:t>
      </w:r>
      <w:r w:rsidR="00E16CEA" w:rsidRPr="004C4C78">
        <w:rPr>
          <w:rFonts w:ascii="Times New Roman" w:eastAsia="Times New Roman" w:hAnsi="Times New Roman" w:cs="Times New Roman"/>
          <w:sz w:val="24"/>
          <w:szCs w:val="24"/>
        </w:rPr>
        <w:t>numbing and flat</w:t>
      </w:r>
      <w:r w:rsidR="00CA6722" w:rsidRPr="004C4C78">
        <w:rPr>
          <w:rFonts w:ascii="Times New Roman" w:eastAsia="Times New Roman" w:hAnsi="Times New Roman" w:cs="Times New Roman"/>
          <w:sz w:val="24"/>
          <w:szCs w:val="24"/>
        </w:rPr>
        <w:t xml:space="preserve"> affect). </w:t>
      </w:r>
    </w:p>
    <w:p w14:paraId="33B9FC53" w14:textId="0E166AF8" w:rsidR="00503DFD" w:rsidRPr="004C4C78" w:rsidRDefault="00FF6D13" w:rsidP="00CF703B">
      <w:pPr>
        <w:pStyle w:val="FootnoteText"/>
        <w:spacing w:line="480" w:lineRule="auto"/>
        <w:ind w:firstLine="720"/>
        <w:rPr>
          <w:rFonts w:ascii="Times New Roman" w:eastAsia="Times New Roman" w:hAnsi="Times New Roman" w:cs="Times New Roman"/>
          <w:sz w:val="24"/>
          <w:szCs w:val="24"/>
        </w:rPr>
      </w:pPr>
      <w:r w:rsidRPr="004C4C78">
        <w:rPr>
          <w:rFonts w:ascii="Times New Roman" w:hAnsi="Times New Roman" w:cs="Times New Roman"/>
          <w:sz w:val="24"/>
          <w:szCs w:val="24"/>
        </w:rPr>
        <w:t xml:space="preserve">People with PTSD or mood disorders may also develop coping mechanisms that affect how they recall memories. </w:t>
      </w:r>
      <w:r w:rsidR="00973334" w:rsidRPr="004C4C78">
        <w:rPr>
          <w:rFonts w:ascii="Times New Roman" w:hAnsi="Times New Roman" w:cs="Times New Roman"/>
          <w:sz w:val="24"/>
          <w:szCs w:val="24"/>
        </w:rPr>
        <w:t xml:space="preserve">A common assumption </w:t>
      </w:r>
      <w:r w:rsidR="00503DFD" w:rsidRPr="004C4C78">
        <w:rPr>
          <w:rFonts w:ascii="Times New Roman" w:hAnsi="Times New Roman" w:cs="Times New Roman"/>
          <w:sz w:val="24"/>
          <w:szCs w:val="24"/>
        </w:rPr>
        <w:t xml:space="preserve">is that people are more likely to remember particular events that recall a heightened emotional state or that occurred during a period of emotional intensity. </w:t>
      </w:r>
      <w:r w:rsidR="009F34E6" w:rsidRPr="004C4C78">
        <w:rPr>
          <w:rFonts w:ascii="Times New Roman" w:hAnsi="Times New Roman" w:cs="Times New Roman"/>
          <w:sz w:val="24"/>
          <w:szCs w:val="24"/>
        </w:rPr>
        <w:t xml:space="preserve">This is true, but only to a certain extent. </w:t>
      </w:r>
      <w:proofErr w:type="gramStart"/>
      <w:r w:rsidR="00682789" w:rsidRPr="004C4C78">
        <w:rPr>
          <w:rFonts w:ascii="Times New Roman" w:hAnsi="Times New Roman" w:cs="Times New Roman"/>
          <w:i/>
          <w:sz w:val="24"/>
          <w:szCs w:val="24"/>
        </w:rPr>
        <w:t xml:space="preserve">See </w:t>
      </w:r>
      <w:r w:rsidR="00503DFD" w:rsidRPr="004C4C78">
        <w:rPr>
          <w:rFonts w:ascii="Times New Roman" w:hAnsi="Times New Roman" w:cs="Times New Roman"/>
          <w:sz w:val="24"/>
          <w:szCs w:val="24"/>
        </w:rPr>
        <w:t xml:space="preserve">Anne E. Van </w:t>
      </w:r>
      <w:proofErr w:type="spellStart"/>
      <w:r w:rsidR="00503DFD" w:rsidRPr="004C4C78">
        <w:rPr>
          <w:rFonts w:ascii="Times New Roman" w:hAnsi="Times New Roman" w:cs="Times New Roman"/>
          <w:sz w:val="24"/>
          <w:szCs w:val="24"/>
        </w:rPr>
        <w:t>Giezen</w:t>
      </w:r>
      <w:proofErr w:type="spellEnd"/>
      <w:r w:rsidR="00503DFD" w:rsidRPr="004C4C78">
        <w:rPr>
          <w:rFonts w:ascii="Times New Roman" w:hAnsi="Times New Roman" w:cs="Times New Roman"/>
          <w:sz w:val="24"/>
          <w:szCs w:val="24"/>
        </w:rPr>
        <w:t xml:space="preserve"> et al., </w:t>
      </w:r>
      <w:r w:rsidR="00503DFD" w:rsidRPr="004C4C78">
        <w:rPr>
          <w:rFonts w:ascii="Times New Roman" w:hAnsi="Times New Roman" w:cs="Times New Roman"/>
          <w:i/>
          <w:sz w:val="24"/>
          <w:szCs w:val="24"/>
        </w:rPr>
        <w:t>Consistency of Memory for Emotionally Arousing Events: A Review of Prosp</w:t>
      </w:r>
      <w:r w:rsidR="00955C77">
        <w:rPr>
          <w:rFonts w:ascii="Times New Roman" w:hAnsi="Times New Roman" w:cs="Times New Roman"/>
          <w:i/>
          <w:sz w:val="24"/>
          <w:szCs w:val="24"/>
        </w:rPr>
        <w:t>ective and Experimental Studies</w:t>
      </w:r>
      <w:r w:rsidR="00955C77">
        <w:rPr>
          <w:rFonts w:ascii="Times New Roman" w:hAnsi="Times New Roman" w:cs="Times New Roman"/>
          <w:sz w:val="24"/>
          <w:szCs w:val="24"/>
        </w:rPr>
        <w:t xml:space="preserve">, </w:t>
      </w:r>
      <w:r w:rsidR="00503DFD" w:rsidRPr="004C4C78">
        <w:rPr>
          <w:rFonts w:ascii="Times New Roman" w:hAnsi="Times New Roman" w:cs="Times New Roman"/>
          <w:sz w:val="24"/>
          <w:szCs w:val="24"/>
        </w:rPr>
        <w:t>25</w:t>
      </w:r>
      <w:r w:rsidR="00503DFD" w:rsidRPr="004C4C78">
        <w:rPr>
          <w:rFonts w:ascii="Times New Roman" w:hAnsi="Times New Roman" w:cs="Times New Roman"/>
          <w:i/>
          <w:sz w:val="24"/>
          <w:szCs w:val="24"/>
        </w:rPr>
        <w:t xml:space="preserve"> </w:t>
      </w:r>
      <w:r w:rsidR="00503DFD" w:rsidRPr="004C4C78">
        <w:rPr>
          <w:rFonts w:ascii="Times New Roman" w:hAnsi="Times New Roman" w:cs="Times New Roman"/>
          <w:sz w:val="24"/>
          <w:szCs w:val="24"/>
        </w:rPr>
        <w:t xml:space="preserve">Clinical Psych. Rev. </w:t>
      </w:r>
      <w:r w:rsidR="00682789" w:rsidRPr="004C4C78">
        <w:rPr>
          <w:rFonts w:ascii="Times New Roman" w:hAnsi="Times New Roman" w:cs="Times New Roman"/>
          <w:sz w:val="24"/>
          <w:szCs w:val="24"/>
        </w:rPr>
        <w:t xml:space="preserve">935, </w:t>
      </w:r>
      <w:r w:rsidR="00503DFD" w:rsidRPr="004C4C78">
        <w:rPr>
          <w:rFonts w:ascii="Times New Roman" w:hAnsi="Times New Roman" w:cs="Times New Roman"/>
          <w:sz w:val="24"/>
          <w:szCs w:val="24"/>
        </w:rPr>
        <w:t>9</w:t>
      </w:r>
      <w:r w:rsidR="00682789" w:rsidRPr="004C4C78">
        <w:rPr>
          <w:rFonts w:ascii="Times New Roman" w:hAnsi="Times New Roman" w:cs="Times New Roman"/>
          <w:sz w:val="24"/>
          <w:szCs w:val="24"/>
        </w:rPr>
        <w:t xml:space="preserve">36 </w:t>
      </w:r>
      <w:r w:rsidR="00503DFD" w:rsidRPr="004C4C78">
        <w:rPr>
          <w:rFonts w:ascii="Times New Roman" w:hAnsi="Times New Roman" w:cs="Times New Roman"/>
          <w:sz w:val="24"/>
          <w:szCs w:val="24"/>
        </w:rPr>
        <w:t>(2005)</w:t>
      </w:r>
      <w:r w:rsidR="00682789" w:rsidRPr="004C4C78">
        <w:rPr>
          <w:rFonts w:ascii="Times New Roman" w:hAnsi="Times New Roman" w:cs="Times New Roman"/>
          <w:sz w:val="24"/>
          <w:szCs w:val="24"/>
        </w:rPr>
        <w:t xml:space="preserve"> (describing how memories of emotionally arousing events are both </w:t>
      </w:r>
      <w:r w:rsidR="0018787F" w:rsidRPr="004C4C78">
        <w:rPr>
          <w:rFonts w:ascii="Times New Roman" w:hAnsi="Times New Roman" w:cs="Times New Roman"/>
          <w:sz w:val="24"/>
          <w:szCs w:val="24"/>
        </w:rPr>
        <w:t>more vividly remembered but also subject to incomplete recall)</w:t>
      </w:r>
      <w:r w:rsidR="00503DFD" w:rsidRPr="004C4C78">
        <w:rPr>
          <w:rFonts w:ascii="Times New Roman" w:hAnsi="Times New Roman" w:cs="Times New Roman"/>
          <w:sz w:val="24"/>
          <w:szCs w:val="24"/>
        </w:rPr>
        <w:t xml:space="preserve">; </w:t>
      </w:r>
      <w:r w:rsidR="00503DFD" w:rsidRPr="004C4C78">
        <w:rPr>
          <w:rFonts w:ascii="Times New Roman" w:hAnsi="Times New Roman" w:cs="Times New Roman"/>
          <w:i/>
          <w:sz w:val="24"/>
          <w:szCs w:val="24"/>
        </w:rPr>
        <w:t xml:space="preserve">cf. </w:t>
      </w:r>
      <w:proofErr w:type="spellStart"/>
      <w:r w:rsidR="00503DFD" w:rsidRPr="004C4C78">
        <w:rPr>
          <w:rFonts w:ascii="Times New Roman" w:hAnsi="Times New Roman" w:cs="Times New Roman"/>
          <w:sz w:val="24"/>
          <w:szCs w:val="24"/>
        </w:rPr>
        <w:t>Shamsul</w:t>
      </w:r>
      <w:proofErr w:type="spellEnd"/>
      <w:r w:rsidR="00503DFD" w:rsidRPr="004C4C78">
        <w:rPr>
          <w:rFonts w:ascii="Times New Roman" w:hAnsi="Times New Roman" w:cs="Times New Roman"/>
          <w:sz w:val="24"/>
          <w:szCs w:val="24"/>
        </w:rPr>
        <w:t xml:space="preserve"> </w:t>
      </w:r>
      <w:proofErr w:type="spellStart"/>
      <w:r w:rsidR="00503DFD" w:rsidRPr="004C4C78">
        <w:rPr>
          <w:rFonts w:ascii="Times New Roman" w:hAnsi="Times New Roman" w:cs="Times New Roman"/>
          <w:sz w:val="24"/>
          <w:szCs w:val="24"/>
        </w:rPr>
        <w:t>Haque</w:t>
      </w:r>
      <w:proofErr w:type="spellEnd"/>
      <w:r w:rsidR="00503DFD" w:rsidRPr="004C4C78">
        <w:rPr>
          <w:rFonts w:ascii="Times New Roman" w:hAnsi="Times New Roman" w:cs="Times New Roman"/>
          <w:sz w:val="24"/>
          <w:szCs w:val="24"/>
        </w:rPr>
        <w:t xml:space="preserve">, </w:t>
      </w:r>
      <w:r w:rsidR="00503DFD" w:rsidRPr="004C4C78">
        <w:rPr>
          <w:rFonts w:ascii="Times New Roman" w:hAnsi="Times New Roman" w:cs="Times New Roman"/>
          <w:i/>
          <w:sz w:val="24"/>
          <w:szCs w:val="24"/>
        </w:rPr>
        <w:t>Autobiographical Memory and Hiera</w:t>
      </w:r>
      <w:r w:rsidR="00410A7F" w:rsidRPr="004C4C78">
        <w:rPr>
          <w:rFonts w:ascii="Times New Roman" w:hAnsi="Times New Roman" w:cs="Times New Roman"/>
          <w:i/>
          <w:sz w:val="24"/>
          <w:szCs w:val="24"/>
        </w:rPr>
        <w:t>r</w:t>
      </w:r>
      <w:r w:rsidR="00503DFD" w:rsidRPr="004C4C78">
        <w:rPr>
          <w:rFonts w:ascii="Times New Roman" w:hAnsi="Times New Roman" w:cs="Times New Roman"/>
          <w:i/>
          <w:sz w:val="24"/>
          <w:szCs w:val="24"/>
        </w:rPr>
        <w:t>chical Search Strategies in Depressed and Non-Depressed Participants</w:t>
      </w:r>
      <w:r w:rsidR="00503DFD" w:rsidRPr="004C4C78">
        <w:rPr>
          <w:rFonts w:ascii="Times New Roman" w:hAnsi="Times New Roman" w:cs="Times New Roman"/>
          <w:sz w:val="24"/>
          <w:szCs w:val="24"/>
        </w:rPr>
        <w:t>, 14 BMC Psychiatry 310</w:t>
      </w:r>
      <w:r w:rsidR="009717AB" w:rsidRPr="004C4C78">
        <w:rPr>
          <w:rFonts w:ascii="Times New Roman" w:hAnsi="Times New Roman" w:cs="Times New Roman"/>
          <w:sz w:val="24"/>
          <w:szCs w:val="24"/>
        </w:rPr>
        <w:t>, 310</w:t>
      </w:r>
      <w:r w:rsidR="00503DFD" w:rsidRPr="004C4C78">
        <w:rPr>
          <w:rFonts w:ascii="Times New Roman" w:hAnsi="Times New Roman" w:cs="Times New Roman"/>
          <w:sz w:val="24"/>
          <w:szCs w:val="24"/>
        </w:rPr>
        <w:t xml:space="preserve"> (2014)</w:t>
      </w:r>
      <w:r w:rsidR="00503DFD" w:rsidRPr="004C4C78">
        <w:rPr>
          <w:rFonts w:ascii="Times New Roman" w:hAnsi="Times New Roman" w:cs="Times New Roman"/>
          <w:i/>
          <w:sz w:val="24"/>
          <w:szCs w:val="24"/>
        </w:rPr>
        <w:t xml:space="preserve"> </w:t>
      </w:r>
      <w:r w:rsidR="00503DFD" w:rsidRPr="004C4C78">
        <w:rPr>
          <w:rFonts w:ascii="Times New Roman" w:hAnsi="Times New Roman" w:cs="Times New Roman"/>
          <w:sz w:val="24"/>
          <w:szCs w:val="24"/>
        </w:rPr>
        <w:t xml:space="preserve">(describing how depressed patients </w:t>
      </w:r>
      <w:r w:rsidR="009717AB" w:rsidRPr="004C4C78">
        <w:rPr>
          <w:rFonts w:ascii="Times New Roman" w:hAnsi="Times New Roman" w:cs="Times New Roman"/>
          <w:sz w:val="24"/>
          <w:szCs w:val="24"/>
        </w:rPr>
        <w:t>retri</w:t>
      </w:r>
      <w:r w:rsidR="009E76A7">
        <w:rPr>
          <w:rFonts w:ascii="Times New Roman" w:hAnsi="Times New Roman" w:cs="Times New Roman"/>
          <w:sz w:val="24"/>
          <w:szCs w:val="24"/>
        </w:rPr>
        <w:t xml:space="preserve">eved memories more quickly but had less specific </w:t>
      </w:r>
      <w:r w:rsidR="009717AB" w:rsidRPr="004C4C78">
        <w:rPr>
          <w:rFonts w:ascii="Times New Roman" w:hAnsi="Times New Roman" w:cs="Times New Roman"/>
          <w:sz w:val="24"/>
          <w:szCs w:val="24"/>
        </w:rPr>
        <w:t xml:space="preserve">recall </w:t>
      </w:r>
      <w:r w:rsidR="009E76A7">
        <w:rPr>
          <w:rFonts w:ascii="Times New Roman" w:hAnsi="Times New Roman" w:cs="Times New Roman"/>
          <w:sz w:val="24"/>
          <w:szCs w:val="24"/>
        </w:rPr>
        <w:t>than</w:t>
      </w:r>
      <w:r w:rsidR="009717AB" w:rsidRPr="004C4C78">
        <w:rPr>
          <w:rFonts w:ascii="Times New Roman" w:hAnsi="Times New Roman" w:cs="Times New Roman"/>
          <w:sz w:val="24"/>
          <w:szCs w:val="24"/>
        </w:rPr>
        <w:t xml:space="preserve"> non-depressed people</w:t>
      </w:r>
      <w:r w:rsidR="000D5949" w:rsidRPr="004C4C78">
        <w:rPr>
          <w:rFonts w:ascii="Times New Roman" w:hAnsi="Times New Roman" w:cs="Times New Roman"/>
          <w:sz w:val="24"/>
          <w:szCs w:val="24"/>
        </w:rPr>
        <w:t>).</w:t>
      </w:r>
      <w:proofErr w:type="gramEnd"/>
      <w:r w:rsidR="000D5949" w:rsidRPr="004C4C78">
        <w:rPr>
          <w:rFonts w:ascii="Times New Roman" w:hAnsi="Times New Roman" w:cs="Times New Roman"/>
          <w:sz w:val="24"/>
          <w:szCs w:val="24"/>
        </w:rPr>
        <w:t xml:space="preserve"> What actually</w:t>
      </w:r>
      <w:r w:rsidR="00503DFD" w:rsidRPr="004C4C78">
        <w:rPr>
          <w:rFonts w:ascii="Times New Roman" w:hAnsi="Times New Roman" w:cs="Times New Roman"/>
          <w:sz w:val="24"/>
          <w:szCs w:val="24"/>
        </w:rPr>
        <w:t xml:space="preserve"> happen</w:t>
      </w:r>
      <w:r w:rsidR="000D5949" w:rsidRPr="004C4C78">
        <w:rPr>
          <w:rFonts w:ascii="Times New Roman" w:hAnsi="Times New Roman" w:cs="Times New Roman"/>
          <w:sz w:val="24"/>
          <w:szCs w:val="24"/>
        </w:rPr>
        <w:t>s</w:t>
      </w:r>
      <w:r w:rsidR="00503DFD" w:rsidRPr="004C4C78">
        <w:rPr>
          <w:rFonts w:ascii="Times New Roman" w:hAnsi="Times New Roman" w:cs="Times New Roman"/>
          <w:sz w:val="24"/>
          <w:szCs w:val="24"/>
        </w:rPr>
        <w:t>, particularly for traumatic events, is that while people may re</w:t>
      </w:r>
      <w:r w:rsidR="009F23F8" w:rsidRPr="004C4C78">
        <w:rPr>
          <w:rFonts w:ascii="Times New Roman" w:hAnsi="Times New Roman" w:cs="Times New Roman"/>
          <w:sz w:val="24"/>
          <w:szCs w:val="24"/>
        </w:rPr>
        <w:t>call the event, they forget many peripheral details</w:t>
      </w:r>
      <w:r w:rsidR="00503DFD" w:rsidRPr="004C4C78">
        <w:rPr>
          <w:rFonts w:ascii="Times New Roman" w:hAnsi="Times New Roman" w:cs="Times New Roman"/>
          <w:sz w:val="24"/>
          <w:szCs w:val="24"/>
        </w:rPr>
        <w:t>, an example of what cognitive psychologists call “</w:t>
      </w:r>
      <w:proofErr w:type="spellStart"/>
      <w:r w:rsidR="00503DFD" w:rsidRPr="004C4C78">
        <w:rPr>
          <w:rFonts w:ascii="Times New Roman" w:hAnsi="Times New Roman" w:cs="Times New Roman"/>
          <w:sz w:val="24"/>
          <w:szCs w:val="24"/>
        </w:rPr>
        <w:t>overgeneral</w:t>
      </w:r>
      <w:proofErr w:type="spellEnd"/>
      <w:r w:rsidR="00503DFD" w:rsidRPr="004C4C78">
        <w:rPr>
          <w:rFonts w:ascii="Times New Roman" w:hAnsi="Times New Roman" w:cs="Times New Roman"/>
          <w:sz w:val="24"/>
          <w:szCs w:val="24"/>
        </w:rPr>
        <w:t xml:space="preserve"> memory.” </w:t>
      </w:r>
      <w:r w:rsidR="00EE33F7" w:rsidRPr="004C4C78">
        <w:rPr>
          <w:rFonts w:ascii="Times New Roman" w:hAnsi="Times New Roman" w:cs="Times New Roman"/>
          <w:i/>
          <w:sz w:val="24"/>
          <w:szCs w:val="24"/>
        </w:rPr>
        <w:t xml:space="preserve">See </w:t>
      </w:r>
      <w:proofErr w:type="spellStart"/>
      <w:r w:rsidR="00EE33F7" w:rsidRPr="004C4C78">
        <w:rPr>
          <w:rFonts w:ascii="Times New Roman" w:hAnsi="Times New Roman" w:cs="Times New Roman"/>
          <w:sz w:val="24"/>
          <w:szCs w:val="24"/>
        </w:rPr>
        <w:t>Haque</w:t>
      </w:r>
      <w:proofErr w:type="spellEnd"/>
      <w:r w:rsidR="00EE33F7" w:rsidRPr="004C4C78">
        <w:rPr>
          <w:rFonts w:ascii="Times New Roman" w:hAnsi="Times New Roman" w:cs="Times New Roman"/>
          <w:sz w:val="24"/>
          <w:szCs w:val="24"/>
        </w:rPr>
        <w:t xml:space="preserve">, </w:t>
      </w:r>
      <w:r w:rsidR="00EE33F7" w:rsidRPr="004C4C78">
        <w:rPr>
          <w:rFonts w:ascii="Times New Roman" w:hAnsi="Times New Roman" w:cs="Times New Roman"/>
          <w:i/>
          <w:sz w:val="24"/>
          <w:szCs w:val="24"/>
        </w:rPr>
        <w:t>supra</w:t>
      </w:r>
      <w:r w:rsidR="00032E65" w:rsidRPr="004C4C78">
        <w:rPr>
          <w:rFonts w:ascii="Times New Roman" w:hAnsi="Times New Roman" w:cs="Times New Roman"/>
          <w:sz w:val="24"/>
          <w:szCs w:val="24"/>
        </w:rPr>
        <w:t xml:space="preserve">, at 310. </w:t>
      </w:r>
      <w:r w:rsidR="00365FBD" w:rsidRPr="004C4C78">
        <w:rPr>
          <w:rFonts w:ascii="Times New Roman" w:hAnsi="Times New Roman" w:cs="Times New Roman"/>
          <w:sz w:val="24"/>
          <w:szCs w:val="24"/>
        </w:rPr>
        <w:t>S</w:t>
      </w:r>
      <w:r w:rsidR="00503DFD" w:rsidRPr="004C4C78">
        <w:rPr>
          <w:rFonts w:ascii="Times New Roman" w:hAnsi="Times New Roman" w:cs="Times New Roman"/>
          <w:sz w:val="24"/>
          <w:szCs w:val="24"/>
        </w:rPr>
        <w:t xml:space="preserve">tudies indicate that people with PTSD and depression are more likely to have </w:t>
      </w:r>
      <w:proofErr w:type="spellStart"/>
      <w:r w:rsidR="00503DFD" w:rsidRPr="004C4C78">
        <w:rPr>
          <w:rFonts w:ascii="Times New Roman" w:hAnsi="Times New Roman" w:cs="Times New Roman"/>
          <w:sz w:val="24"/>
          <w:szCs w:val="24"/>
        </w:rPr>
        <w:t>overgeneral</w:t>
      </w:r>
      <w:proofErr w:type="spellEnd"/>
      <w:r w:rsidR="00503DFD" w:rsidRPr="004C4C78">
        <w:rPr>
          <w:rFonts w:ascii="Times New Roman" w:hAnsi="Times New Roman" w:cs="Times New Roman"/>
          <w:sz w:val="24"/>
          <w:szCs w:val="24"/>
        </w:rPr>
        <w:t xml:space="preserve"> memory. </w:t>
      </w:r>
      <w:r w:rsidR="00365FBD" w:rsidRPr="004C4C78">
        <w:rPr>
          <w:rFonts w:ascii="Times New Roman" w:hAnsi="Times New Roman" w:cs="Times New Roman"/>
          <w:i/>
          <w:sz w:val="24"/>
          <w:szCs w:val="24"/>
        </w:rPr>
        <w:t>See</w:t>
      </w:r>
      <w:r w:rsidR="00FB1449" w:rsidRPr="004C4C78">
        <w:rPr>
          <w:rFonts w:ascii="Times New Roman" w:hAnsi="Times New Roman" w:cs="Times New Roman"/>
          <w:i/>
          <w:sz w:val="24"/>
          <w:szCs w:val="24"/>
        </w:rPr>
        <w:t>, e.g.</w:t>
      </w:r>
      <w:r w:rsidR="00FB1449" w:rsidRPr="004C4C78">
        <w:rPr>
          <w:rFonts w:ascii="Times New Roman" w:hAnsi="Times New Roman" w:cs="Times New Roman"/>
          <w:sz w:val="24"/>
          <w:szCs w:val="24"/>
        </w:rPr>
        <w:t>,</w:t>
      </w:r>
      <w:r w:rsidR="00365FBD" w:rsidRPr="004C4C78">
        <w:rPr>
          <w:rFonts w:ascii="Times New Roman" w:hAnsi="Times New Roman" w:cs="Times New Roman"/>
          <w:i/>
          <w:sz w:val="24"/>
          <w:szCs w:val="24"/>
        </w:rPr>
        <w:t xml:space="preserve"> </w:t>
      </w:r>
      <w:r w:rsidR="00503DFD" w:rsidRPr="004C4C78">
        <w:rPr>
          <w:rFonts w:ascii="Times New Roman" w:hAnsi="Times New Roman" w:cs="Times New Roman"/>
          <w:sz w:val="24"/>
          <w:szCs w:val="24"/>
        </w:rPr>
        <w:t xml:space="preserve">Birgit </w:t>
      </w:r>
      <w:proofErr w:type="spellStart"/>
      <w:r w:rsidR="00503DFD" w:rsidRPr="004C4C78">
        <w:rPr>
          <w:rFonts w:ascii="Times New Roman" w:hAnsi="Times New Roman" w:cs="Times New Roman"/>
          <w:sz w:val="24"/>
          <w:szCs w:val="24"/>
        </w:rPr>
        <w:t>Klei</w:t>
      </w:r>
      <w:r w:rsidR="00FB1449" w:rsidRPr="004C4C78">
        <w:rPr>
          <w:rFonts w:ascii="Times New Roman" w:hAnsi="Times New Roman" w:cs="Times New Roman"/>
          <w:sz w:val="24"/>
          <w:szCs w:val="24"/>
        </w:rPr>
        <w:t>m</w:t>
      </w:r>
      <w:proofErr w:type="spellEnd"/>
      <w:r w:rsidR="00503DFD" w:rsidRPr="004C4C78">
        <w:rPr>
          <w:rFonts w:ascii="Times New Roman" w:hAnsi="Times New Roman" w:cs="Times New Roman"/>
          <w:sz w:val="24"/>
          <w:szCs w:val="24"/>
        </w:rPr>
        <w:t xml:space="preserve">, et al., </w:t>
      </w:r>
      <w:r w:rsidR="00503DFD" w:rsidRPr="004C4C78">
        <w:rPr>
          <w:rFonts w:ascii="Times New Roman" w:hAnsi="Times New Roman" w:cs="Times New Roman"/>
          <w:i/>
          <w:sz w:val="24"/>
          <w:szCs w:val="24"/>
        </w:rPr>
        <w:t xml:space="preserve">The Impact of Imprisonment on </w:t>
      </w:r>
      <w:proofErr w:type="spellStart"/>
      <w:r w:rsidR="00503DFD" w:rsidRPr="004C4C78">
        <w:rPr>
          <w:rFonts w:ascii="Times New Roman" w:hAnsi="Times New Roman" w:cs="Times New Roman"/>
          <w:i/>
          <w:sz w:val="24"/>
          <w:szCs w:val="24"/>
        </w:rPr>
        <w:t>Overgeneral</w:t>
      </w:r>
      <w:proofErr w:type="spellEnd"/>
      <w:r w:rsidR="00503DFD" w:rsidRPr="004C4C78">
        <w:rPr>
          <w:rFonts w:ascii="Times New Roman" w:hAnsi="Times New Roman" w:cs="Times New Roman"/>
          <w:i/>
          <w:sz w:val="24"/>
          <w:szCs w:val="24"/>
        </w:rPr>
        <w:t xml:space="preserve"> Autobiographical Memory in Former Political Prisoners</w:t>
      </w:r>
      <w:r w:rsidR="00503DFD" w:rsidRPr="004C4C78">
        <w:rPr>
          <w:rFonts w:ascii="Times New Roman" w:hAnsi="Times New Roman" w:cs="Times New Roman"/>
          <w:sz w:val="24"/>
          <w:szCs w:val="24"/>
        </w:rPr>
        <w:t>, 26 J. of Traumatic Stress 626, 626 (2013)</w:t>
      </w:r>
      <w:r w:rsidR="00365FBD" w:rsidRPr="004C4C78">
        <w:rPr>
          <w:rFonts w:ascii="Times New Roman" w:hAnsi="Times New Roman" w:cs="Times New Roman"/>
          <w:sz w:val="24"/>
          <w:szCs w:val="24"/>
        </w:rPr>
        <w:t xml:space="preserve"> (describing this phenomenon)</w:t>
      </w:r>
      <w:r w:rsidR="00503DFD" w:rsidRPr="004C4C78">
        <w:rPr>
          <w:rFonts w:ascii="Times New Roman" w:hAnsi="Times New Roman" w:cs="Times New Roman"/>
          <w:sz w:val="24"/>
          <w:szCs w:val="24"/>
        </w:rPr>
        <w:t>.  Psych</w:t>
      </w:r>
      <w:r w:rsidR="00DE0E0E" w:rsidRPr="004C4C78">
        <w:rPr>
          <w:rFonts w:ascii="Times New Roman" w:hAnsi="Times New Roman" w:cs="Times New Roman"/>
          <w:sz w:val="24"/>
          <w:szCs w:val="24"/>
        </w:rPr>
        <w:t>ologists</w:t>
      </w:r>
      <w:r w:rsidR="00503DFD" w:rsidRPr="004C4C78">
        <w:rPr>
          <w:rFonts w:ascii="Times New Roman" w:hAnsi="Times New Roman" w:cs="Times New Roman"/>
          <w:sz w:val="24"/>
          <w:szCs w:val="24"/>
        </w:rPr>
        <w:t xml:space="preserve"> theorize that because retrieval of detailed negative </w:t>
      </w:r>
      <w:r w:rsidR="00D57F87" w:rsidRPr="004C4C78">
        <w:rPr>
          <w:rFonts w:ascii="Times New Roman" w:hAnsi="Times New Roman" w:cs="Times New Roman"/>
          <w:sz w:val="24"/>
          <w:szCs w:val="24"/>
        </w:rPr>
        <w:t>experiences may cause distress,</w:t>
      </w:r>
      <w:r w:rsidR="00503DFD" w:rsidRPr="004C4C78">
        <w:rPr>
          <w:rFonts w:ascii="Times New Roman" w:hAnsi="Times New Roman" w:cs="Times New Roman"/>
          <w:sz w:val="24"/>
          <w:szCs w:val="24"/>
        </w:rPr>
        <w:t xml:space="preserve"> </w:t>
      </w:r>
      <w:r w:rsidR="00503DFD" w:rsidRPr="004C4C78">
        <w:rPr>
          <w:rFonts w:ascii="Times New Roman" w:hAnsi="Times New Roman" w:cs="Times New Roman"/>
          <w:sz w:val="24"/>
          <w:szCs w:val="24"/>
        </w:rPr>
        <w:lastRenderedPageBreak/>
        <w:t xml:space="preserve">the person </w:t>
      </w:r>
      <w:r w:rsidR="00D57F87" w:rsidRPr="004C4C78">
        <w:rPr>
          <w:rFonts w:ascii="Times New Roman" w:hAnsi="Times New Roman" w:cs="Times New Roman"/>
          <w:sz w:val="24"/>
          <w:szCs w:val="24"/>
        </w:rPr>
        <w:t>retrieving the memory subconsciously avoid</w:t>
      </w:r>
      <w:r w:rsidR="00682789" w:rsidRPr="004C4C78">
        <w:rPr>
          <w:rFonts w:ascii="Times New Roman" w:hAnsi="Times New Roman" w:cs="Times New Roman"/>
          <w:sz w:val="24"/>
          <w:szCs w:val="24"/>
        </w:rPr>
        <w:t xml:space="preserve">s </w:t>
      </w:r>
      <w:proofErr w:type="gramStart"/>
      <w:r w:rsidR="00682789" w:rsidRPr="004C4C78">
        <w:rPr>
          <w:rFonts w:ascii="Times New Roman" w:hAnsi="Times New Roman" w:cs="Times New Roman"/>
          <w:sz w:val="24"/>
          <w:szCs w:val="24"/>
        </w:rPr>
        <w:t>these</w:t>
      </w:r>
      <w:proofErr w:type="gramEnd"/>
      <w:r w:rsidR="00D57F87" w:rsidRPr="004C4C78">
        <w:rPr>
          <w:rFonts w:ascii="Times New Roman" w:hAnsi="Times New Roman" w:cs="Times New Roman"/>
          <w:sz w:val="24"/>
          <w:szCs w:val="24"/>
        </w:rPr>
        <w:t xml:space="preserve"> </w:t>
      </w:r>
      <w:r w:rsidR="00503DFD" w:rsidRPr="004C4C78">
        <w:rPr>
          <w:rFonts w:ascii="Times New Roman" w:hAnsi="Times New Roman" w:cs="Times New Roman"/>
          <w:sz w:val="24"/>
          <w:szCs w:val="24"/>
        </w:rPr>
        <w:t xml:space="preserve">negative feelings </w:t>
      </w:r>
      <w:r w:rsidR="00682789" w:rsidRPr="004C4C78">
        <w:rPr>
          <w:rFonts w:ascii="Times New Roman" w:hAnsi="Times New Roman" w:cs="Times New Roman"/>
          <w:sz w:val="24"/>
          <w:szCs w:val="24"/>
        </w:rPr>
        <w:t>by forgetting specific details</w:t>
      </w:r>
      <w:r w:rsidR="00503DFD" w:rsidRPr="004C4C78">
        <w:rPr>
          <w:rFonts w:ascii="Times New Roman" w:hAnsi="Times New Roman" w:cs="Times New Roman"/>
          <w:sz w:val="24"/>
          <w:szCs w:val="24"/>
        </w:rPr>
        <w:t xml:space="preserve">. </w:t>
      </w:r>
      <w:r w:rsidR="00FB1449" w:rsidRPr="004C4C78">
        <w:rPr>
          <w:rFonts w:ascii="Times New Roman" w:hAnsi="Times New Roman" w:cs="Times New Roman"/>
          <w:i/>
          <w:sz w:val="24"/>
          <w:szCs w:val="24"/>
        </w:rPr>
        <w:t xml:space="preserve">See </w:t>
      </w:r>
      <w:proofErr w:type="spellStart"/>
      <w:r w:rsidR="00FB1449" w:rsidRPr="004C4C78">
        <w:rPr>
          <w:rFonts w:ascii="Times New Roman" w:hAnsi="Times New Roman" w:cs="Times New Roman"/>
          <w:sz w:val="24"/>
          <w:szCs w:val="24"/>
        </w:rPr>
        <w:t>Haque</w:t>
      </w:r>
      <w:proofErr w:type="spellEnd"/>
      <w:r w:rsidR="00FB1449" w:rsidRPr="004C4C78">
        <w:rPr>
          <w:rFonts w:ascii="Times New Roman" w:hAnsi="Times New Roman" w:cs="Times New Roman"/>
          <w:sz w:val="24"/>
          <w:szCs w:val="24"/>
        </w:rPr>
        <w:t xml:space="preserve">, </w:t>
      </w:r>
      <w:r w:rsidR="00FB1449" w:rsidRPr="004C4C78">
        <w:rPr>
          <w:rFonts w:ascii="Times New Roman" w:hAnsi="Times New Roman" w:cs="Times New Roman"/>
          <w:i/>
          <w:sz w:val="24"/>
          <w:szCs w:val="24"/>
        </w:rPr>
        <w:t>supra</w:t>
      </w:r>
      <w:r w:rsidR="00FB1449" w:rsidRPr="004C4C78">
        <w:rPr>
          <w:rFonts w:ascii="Times New Roman" w:hAnsi="Times New Roman" w:cs="Times New Roman"/>
          <w:sz w:val="24"/>
          <w:szCs w:val="24"/>
        </w:rPr>
        <w:t>, at 310.</w:t>
      </w:r>
    </w:p>
    <w:p w14:paraId="0111BC5F" w14:textId="440C481A" w:rsidR="00C721A7" w:rsidRPr="004C4C78" w:rsidRDefault="00A754C1" w:rsidP="00FD3515">
      <w:pPr>
        <w:pStyle w:val="FootnoteText"/>
        <w:spacing w:line="480" w:lineRule="auto"/>
        <w:ind w:firstLine="720"/>
        <w:rPr>
          <w:rFonts w:ascii="Times New Roman" w:hAnsi="Times New Roman" w:cs="Times New Roman"/>
          <w:sz w:val="24"/>
          <w:szCs w:val="24"/>
        </w:rPr>
      </w:pPr>
      <w:r w:rsidRPr="004C4C78">
        <w:rPr>
          <w:rFonts w:ascii="Times New Roman" w:hAnsi="Times New Roman" w:cs="Times New Roman"/>
          <w:sz w:val="24"/>
          <w:szCs w:val="24"/>
        </w:rPr>
        <w:t xml:space="preserve">Because of </w:t>
      </w:r>
      <w:proofErr w:type="spellStart"/>
      <w:r w:rsidRPr="004C4C78">
        <w:rPr>
          <w:rFonts w:ascii="Times New Roman" w:hAnsi="Times New Roman" w:cs="Times New Roman"/>
          <w:sz w:val="24"/>
          <w:szCs w:val="24"/>
        </w:rPr>
        <w:t>overgeneral</w:t>
      </w:r>
      <w:proofErr w:type="spellEnd"/>
      <w:r w:rsidRPr="004C4C78">
        <w:rPr>
          <w:rFonts w:ascii="Times New Roman" w:hAnsi="Times New Roman" w:cs="Times New Roman"/>
          <w:sz w:val="24"/>
          <w:szCs w:val="24"/>
        </w:rPr>
        <w:t xml:space="preserve"> memory, people with </w:t>
      </w:r>
      <w:r w:rsidR="00A20E97" w:rsidRPr="004C4C78">
        <w:rPr>
          <w:rFonts w:ascii="Times New Roman" w:hAnsi="Times New Roman" w:cs="Times New Roman"/>
          <w:sz w:val="24"/>
          <w:szCs w:val="24"/>
          <w:highlight w:val="yellow"/>
        </w:rPr>
        <w:t>[</w:t>
      </w:r>
      <w:r w:rsidRPr="004C4C78">
        <w:rPr>
          <w:rFonts w:ascii="Times New Roman" w:hAnsi="Times New Roman" w:cs="Times New Roman"/>
          <w:sz w:val="24"/>
          <w:szCs w:val="24"/>
          <w:highlight w:val="yellow"/>
        </w:rPr>
        <w:t>depression</w:t>
      </w:r>
      <w:r w:rsidR="00A20E97" w:rsidRPr="004C4C78">
        <w:rPr>
          <w:rFonts w:ascii="Times New Roman" w:hAnsi="Times New Roman" w:cs="Times New Roman"/>
          <w:sz w:val="24"/>
          <w:szCs w:val="24"/>
          <w:highlight w:val="yellow"/>
        </w:rPr>
        <w:t>/other mood disorder]</w:t>
      </w:r>
      <w:r w:rsidRPr="004C4C78">
        <w:rPr>
          <w:rFonts w:ascii="Times New Roman" w:hAnsi="Times New Roman" w:cs="Times New Roman"/>
          <w:sz w:val="24"/>
          <w:szCs w:val="24"/>
          <w:highlight w:val="yellow"/>
        </w:rPr>
        <w:t xml:space="preserve"> or PTSD</w:t>
      </w:r>
      <w:r w:rsidRPr="004C4C78">
        <w:rPr>
          <w:rFonts w:ascii="Times New Roman" w:hAnsi="Times New Roman" w:cs="Times New Roman"/>
          <w:sz w:val="24"/>
          <w:szCs w:val="24"/>
        </w:rPr>
        <w:t xml:space="preserve"> are more li</w:t>
      </w:r>
      <w:r w:rsidR="00A20E97" w:rsidRPr="004C4C78">
        <w:rPr>
          <w:rFonts w:ascii="Times New Roman" w:hAnsi="Times New Roman" w:cs="Times New Roman"/>
          <w:sz w:val="24"/>
          <w:szCs w:val="24"/>
        </w:rPr>
        <w:t xml:space="preserve">kely to confuse names and dates. Their ability to </w:t>
      </w:r>
      <w:r w:rsidR="00333ED1" w:rsidRPr="004C4C78">
        <w:rPr>
          <w:rFonts w:ascii="Times New Roman" w:hAnsi="Times New Roman" w:cs="Times New Roman"/>
          <w:sz w:val="24"/>
          <w:szCs w:val="24"/>
        </w:rPr>
        <w:t>remember details and tell a full-fledged narrative may also suffer. They may have a flat affect that makes them appear cold or unaffected by traumatic or violent events they may have witnesses or experienced. All of these difficulties are manifestations of the person’s mental health conditions. As a result, providing accommodations</w:t>
      </w:r>
      <w:r w:rsidR="00860D1C" w:rsidRPr="004C4C78">
        <w:rPr>
          <w:rFonts w:ascii="Times New Roman" w:hAnsi="Times New Roman" w:cs="Times New Roman"/>
          <w:sz w:val="24"/>
          <w:szCs w:val="24"/>
        </w:rPr>
        <w:t xml:space="preserve"> is</w:t>
      </w:r>
      <w:r w:rsidR="00333ED1" w:rsidRPr="004C4C78">
        <w:rPr>
          <w:rFonts w:ascii="Times New Roman" w:hAnsi="Times New Roman" w:cs="Times New Roman"/>
          <w:sz w:val="24"/>
          <w:szCs w:val="24"/>
        </w:rPr>
        <w:t xml:space="preserve"> crucial to ensure that </w:t>
      </w:r>
      <w:r w:rsidR="000355EB" w:rsidRPr="004C4C78">
        <w:rPr>
          <w:rFonts w:ascii="Times New Roman" w:hAnsi="Times New Roman" w:cs="Times New Roman"/>
          <w:sz w:val="24"/>
          <w:szCs w:val="24"/>
        </w:rPr>
        <w:t xml:space="preserve">people such as </w:t>
      </w:r>
      <w:r w:rsidR="000355EB" w:rsidRPr="004C4C78">
        <w:rPr>
          <w:rFonts w:ascii="Times New Roman" w:hAnsi="Times New Roman" w:cs="Times New Roman"/>
          <w:sz w:val="24"/>
          <w:szCs w:val="24"/>
          <w:highlight w:val="yellow"/>
        </w:rPr>
        <w:t>CLIENT</w:t>
      </w:r>
      <w:r w:rsidR="000355EB" w:rsidRPr="004C4C78">
        <w:rPr>
          <w:rFonts w:ascii="Times New Roman" w:hAnsi="Times New Roman" w:cs="Times New Roman"/>
          <w:sz w:val="24"/>
          <w:szCs w:val="24"/>
        </w:rPr>
        <w:t xml:space="preserve"> </w:t>
      </w:r>
      <w:r w:rsidR="00001D49" w:rsidRPr="004C4C78">
        <w:rPr>
          <w:rFonts w:ascii="Times New Roman" w:hAnsi="Times New Roman" w:cs="Times New Roman"/>
          <w:sz w:val="24"/>
          <w:szCs w:val="24"/>
        </w:rPr>
        <w:t>have a fair opportunity to present their case</w:t>
      </w:r>
      <w:r w:rsidR="00E36F0C" w:rsidRPr="004C4C78">
        <w:rPr>
          <w:rFonts w:ascii="Times New Roman" w:hAnsi="Times New Roman" w:cs="Times New Roman"/>
          <w:sz w:val="24"/>
          <w:szCs w:val="24"/>
        </w:rPr>
        <w:t>s</w:t>
      </w:r>
      <w:r w:rsidR="00001D49" w:rsidRPr="004C4C78">
        <w:rPr>
          <w:rFonts w:ascii="Times New Roman" w:hAnsi="Times New Roman" w:cs="Times New Roman"/>
          <w:sz w:val="24"/>
          <w:szCs w:val="24"/>
        </w:rPr>
        <w:t xml:space="preserve"> in court. </w:t>
      </w:r>
      <w:r w:rsidR="005912FA" w:rsidRPr="004C4C78">
        <w:rPr>
          <w:rFonts w:ascii="Times New Roman" w:hAnsi="Times New Roman" w:cs="Times New Roman"/>
          <w:sz w:val="24"/>
          <w:szCs w:val="24"/>
        </w:rPr>
        <w:t xml:space="preserve"> </w:t>
      </w:r>
    </w:p>
    <w:p w14:paraId="20742F2D" w14:textId="77777777" w:rsidR="00B170BB" w:rsidRPr="004C4C78" w:rsidRDefault="00F72E6F" w:rsidP="00503DFD">
      <w:pPr>
        <w:spacing w:line="480" w:lineRule="auto"/>
        <w:jc w:val="center"/>
        <w:outlineLvl w:val="0"/>
        <w:rPr>
          <w:b/>
        </w:rPr>
      </w:pPr>
      <w:r w:rsidRPr="004C4C78">
        <w:rPr>
          <w:b/>
        </w:rPr>
        <w:t>A</w:t>
      </w:r>
      <w:r w:rsidR="00B170BB" w:rsidRPr="004C4C78">
        <w:rPr>
          <w:b/>
        </w:rPr>
        <w:t>RGUMENT</w:t>
      </w:r>
    </w:p>
    <w:p w14:paraId="2442A0B3" w14:textId="6EB6E05F" w:rsidR="001072C8" w:rsidRPr="004C4C78" w:rsidRDefault="005E1ECC" w:rsidP="004C4C78">
      <w:pPr>
        <w:pStyle w:val="ListParagraph"/>
        <w:spacing w:line="480" w:lineRule="auto"/>
        <w:ind w:left="1080"/>
        <w:rPr>
          <w:rFonts w:ascii="Times New Roman" w:hAnsi="Times New Roman" w:cs="Times New Roman"/>
          <w:b/>
          <w:sz w:val="24"/>
          <w:szCs w:val="24"/>
          <w:highlight w:val="yellow"/>
        </w:rPr>
      </w:pPr>
      <w:r w:rsidRPr="0080717C">
        <w:rPr>
          <w:rFonts w:ascii="Times New Roman" w:hAnsi="Times New Roman" w:cs="Times New Roman"/>
          <w:b/>
          <w:sz w:val="24"/>
          <w:szCs w:val="24"/>
        </w:rPr>
        <w:t xml:space="preserve">I. </w:t>
      </w:r>
      <w:r w:rsidR="00423A87" w:rsidRPr="004C4C78">
        <w:rPr>
          <w:rFonts w:ascii="Times New Roman" w:hAnsi="Times New Roman" w:cs="Times New Roman"/>
          <w:sz w:val="24"/>
          <w:szCs w:val="24"/>
        </w:rPr>
        <w:t xml:space="preserve"> </w:t>
      </w:r>
      <w:r w:rsidR="001072C8" w:rsidRPr="004C4C78">
        <w:rPr>
          <w:rFonts w:ascii="Times New Roman" w:hAnsi="Times New Roman" w:cs="Times New Roman"/>
          <w:b/>
          <w:sz w:val="24"/>
          <w:szCs w:val="24"/>
        </w:rPr>
        <w:t xml:space="preserve">The Court Must Adopt Appropriate Safeguards to </w:t>
      </w:r>
      <w:proofErr w:type="gramStart"/>
      <w:r w:rsidR="001072C8" w:rsidRPr="004C4C78">
        <w:rPr>
          <w:rFonts w:ascii="Times New Roman" w:hAnsi="Times New Roman" w:cs="Times New Roman"/>
          <w:b/>
          <w:sz w:val="24"/>
          <w:szCs w:val="24"/>
        </w:rPr>
        <w:t>Ensure</w:t>
      </w:r>
      <w:proofErr w:type="gramEnd"/>
      <w:r w:rsidR="001072C8" w:rsidRPr="004C4C78">
        <w:rPr>
          <w:rFonts w:ascii="Times New Roman" w:hAnsi="Times New Roman" w:cs="Times New Roman"/>
          <w:b/>
          <w:sz w:val="24"/>
          <w:szCs w:val="24"/>
        </w:rPr>
        <w:t xml:space="preserve"> that Immigration Court Proceedings Remain Fair for People with </w:t>
      </w:r>
      <w:r w:rsidR="00FD3515" w:rsidRPr="004C4C78">
        <w:rPr>
          <w:rFonts w:ascii="Times New Roman" w:hAnsi="Times New Roman" w:cs="Times New Roman"/>
          <w:b/>
          <w:sz w:val="24"/>
          <w:szCs w:val="24"/>
        </w:rPr>
        <w:t xml:space="preserve">Mental Health </w:t>
      </w:r>
      <w:r w:rsidR="00410935" w:rsidRPr="004C4C78">
        <w:rPr>
          <w:rFonts w:ascii="Times New Roman" w:hAnsi="Times New Roman" w:cs="Times New Roman"/>
          <w:b/>
          <w:sz w:val="24"/>
          <w:szCs w:val="24"/>
        </w:rPr>
        <w:t xml:space="preserve">Conditions </w:t>
      </w:r>
      <w:r w:rsidR="001072C8" w:rsidRPr="004C4C78">
        <w:rPr>
          <w:rFonts w:ascii="Times New Roman" w:hAnsi="Times New Roman" w:cs="Times New Roman"/>
          <w:b/>
          <w:sz w:val="24"/>
          <w:szCs w:val="24"/>
        </w:rPr>
        <w:t xml:space="preserve">like </w:t>
      </w:r>
      <w:r w:rsidR="001072C8" w:rsidRPr="004C4C78">
        <w:rPr>
          <w:rFonts w:ascii="Times New Roman" w:hAnsi="Times New Roman" w:cs="Times New Roman"/>
          <w:b/>
          <w:sz w:val="24"/>
          <w:szCs w:val="24"/>
          <w:highlight w:val="yellow"/>
        </w:rPr>
        <w:t>CLIENT</w:t>
      </w:r>
    </w:p>
    <w:p w14:paraId="2B1BBFB8" w14:textId="7C94E014" w:rsidR="00F72E6F" w:rsidRPr="004C4C78" w:rsidRDefault="007A11D0" w:rsidP="00503DFD">
      <w:pPr>
        <w:spacing w:line="480" w:lineRule="auto"/>
        <w:ind w:firstLine="360"/>
      </w:pPr>
      <w:r w:rsidRPr="004C4C78">
        <w:t xml:space="preserve">Pursuant to the </w:t>
      </w:r>
      <w:r w:rsidR="006A1A43" w:rsidRPr="004C4C78">
        <w:t xml:space="preserve">INA, </w:t>
      </w:r>
      <w:r w:rsidR="0003374F" w:rsidRPr="004C4C78">
        <w:t>Second Circuit</w:t>
      </w:r>
      <w:r w:rsidRPr="004C4C78">
        <w:t xml:space="preserve">, </w:t>
      </w:r>
      <w:r w:rsidR="0003374F" w:rsidRPr="004C4C78">
        <w:t xml:space="preserve">and BIA </w:t>
      </w:r>
      <w:proofErr w:type="spellStart"/>
      <w:r w:rsidR="0003374F" w:rsidRPr="004C4C78">
        <w:t>caselaw</w:t>
      </w:r>
      <w:proofErr w:type="spellEnd"/>
      <w:r w:rsidR="0003374F" w:rsidRPr="004C4C78">
        <w:t xml:space="preserve">, </w:t>
      </w:r>
      <w:r w:rsidR="006A1A43" w:rsidRPr="004C4C78">
        <w:t>i</w:t>
      </w:r>
      <w:r w:rsidR="00FB3BEC" w:rsidRPr="004C4C78">
        <w:t>mmigration judges have a responsibility to ensure that</w:t>
      </w:r>
      <w:r w:rsidR="00A84579" w:rsidRPr="004C4C78">
        <w:t xml:space="preserve"> immigration</w:t>
      </w:r>
      <w:r w:rsidR="00D37E44" w:rsidRPr="004C4C78">
        <w:t xml:space="preserve"> </w:t>
      </w:r>
      <w:r w:rsidR="00FB3BEC" w:rsidRPr="004C4C78">
        <w:t>proceedings are fundamentally fair</w:t>
      </w:r>
      <w:r w:rsidR="00D37E44" w:rsidRPr="004C4C78">
        <w:t>.</w:t>
      </w:r>
      <w:r w:rsidR="00D37E44" w:rsidRPr="004C4C78">
        <w:rPr>
          <w:i/>
        </w:rPr>
        <w:t xml:space="preserve"> </w:t>
      </w:r>
      <w:proofErr w:type="gramStart"/>
      <w:r w:rsidR="00D37E44" w:rsidRPr="004C4C78">
        <w:rPr>
          <w:i/>
        </w:rPr>
        <w:t xml:space="preserve">See </w:t>
      </w:r>
      <w:r w:rsidR="00D37E44" w:rsidRPr="004C4C78">
        <w:t>INA § 240(b)(4)(B)</w:t>
      </w:r>
      <w:r w:rsidR="002D122A" w:rsidRPr="004C4C78">
        <w:t xml:space="preserve"> </w:t>
      </w:r>
      <w:r w:rsidR="00FD22DB" w:rsidRPr="004C4C78">
        <w:t>(</w:t>
      </w:r>
      <w:r w:rsidR="00681318" w:rsidRPr="004C4C78">
        <w:t xml:space="preserve">requiring that respondents </w:t>
      </w:r>
      <w:r w:rsidR="00FD22DB" w:rsidRPr="004C4C78">
        <w:t xml:space="preserve"> have a “reasonable opportunity” to examine and rebut evidence against them)</w:t>
      </w:r>
      <w:r w:rsidR="00D37E44" w:rsidRPr="004C4C78">
        <w:t xml:space="preserve">; </w:t>
      </w:r>
      <w:r w:rsidR="00895AFF" w:rsidRPr="004C4C78">
        <w:rPr>
          <w:i/>
        </w:rPr>
        <w:t xml:space="preserve">Matter </w:t>
      </w:r>
      <w:r w:rsidR="00AA17AD" w:rsidRPr="004C4C78">
        <w:rPr>
          <w:i/>
        </w:rPr>
        <w:t>of Tomas</w:t>
      </w:r>
      <w:r w:rsidR="00AA17AD" w:rsidRPr="004C4C78">
        <w:t xml:space="preserve">, </w:t>
      </w:r>
      <w:r w:rsidR="00D37E44" w:rsidRPr="004C4C78">
        <w:t>19 I. &amp; N. Dec. 464</w:t>
      </w:r>
      <w:r w:rsidR="0058468B" w:rsidRPr="004C4C78">
        <w:t>, 465</w:t>
      </w:r>
      <w:r w:rsidR="00D37E44" w:rsidRPr="004C4C78">
        <w:t xml:space="preserve"> (BIA 1987)</w:t>
      </w:r>
      <w:r w:rsidR="0058468B" w:rsidRPr="004C4C78">
        <w:t xml:space="preserve"> (describing importance of fundamental fairness of </w:t>
      </w:r>
      <w:r w:rsidR="00327597" w:rsidRPr="004C4C78">
        <w:t>i</w:t>
      </w:r>
      <w:r w:rsidR="0058468B" w:rsidRPr="004C4C78">
        <w:t>mmigration proceedings)</w:t>
      </w:r>
      <w:r w:rsidR="00D37E44" w:rsidRPr="004C4C78">
        <w:t>;</w:t>
      </w:r>
      <w:r w:rsidR="00DC4CA0" w:rsidRPr="004C4C78">
        <w:t xml:space="preserve"> </w:t>
      </w:r>
      <w:r w:rsidR="00DC4CA0" w:rsidRPr="004C4C78">
        <w:rPr>
          <w:i/>
        </w:rPr>
        <w:t xml:space="preserve">Matter of </w:t>
      </w:r>
      <w:proofErr w:type="spellStart"/>
      <w:r w:rsidR="00DC4CA0" w:rsidRPr="004C4C78">
        <w:rPr>
          <w:i/>
        </w:rPr>
        <w:t>Exame</w:t>
      </w:r>
      <w:proofErr w:type="spellEnd"/>
      <w:r w:rsidR="00DC4CA0" w:rsidRPr="004C4C78">
        <w:t>, 18 I. &amp; N. Dec. 303 (BIA 1982)</w:t>
      </w:r>
      <w:r w:rsidR="00D601B7" w:rsidRPr="004C4C78">
        <w:t xml:space="preserve"> (same)</w:t>
      </w:r>
      <w:r w:rsidR="006A1A43" w:rsidRPr="004C4C78">
        <w:t>;</w:t>
      </w:r>
      <w:r w:rsidR="00EC01F1" w:rsidRPr="004C4C78">
        <w:rPr>
          <w:i/>
        </w:rPr>
        <w:t xml:space="preserve"> U</w:t>
      </w:r>
      <w:r w:rsidR="003F1492" w:rsidRPr="004C4C78">
        <w:rPr>
          <w:i/>
        </w:rPr>
        <w:t>nited States</w:t>
      </w:r>
      <w:r w:rsidR="00EC01F1" w:rsidRPr="004C4C78">
        <w:rPr>
          <w:i/>
        </w:rPr>
        <w:t xml:space="preserve"> v. Fernandez-Antonia</w:t>
      </w:r>
      <w:r w:rsidR="00EC01F1" w:rsidRPr="004C4C78">
        <w:t>, 278 F.3d 150, 156 (2d Cir. 2002) (“Although the Supreme Court has not specifically delineated the procedural safeguards to be accorded to aliens in deportation or removal hearings, it is well settled that the procedures employed must satisfy due p</w:t>
      </w:r>
      <w:r w:rsidR="00FD22DB" w:rsidRPr="004C4C78">
        <w:t>rocess.”)</w:t>
      </w:r>
      <w:r w:rsidR="00D37E44" w:rsidRPr="004C4C78">
        <w:t>.</w:t>
      </w:r>
      <w:proofErr w:type="gramEnd"/>
      <w:r w:rsidR="00D37E44" w:rsidRPr="004C4C78">
        <w:t xml:space="preserve"> </w:t>
      </w:r>
    </w:p>
    <w:p w14:paraId="6296B904" w14:textId="737901CB" w:rsidR="008C3306" w:rsidRPr="004C4C78" w:rsidRDefault="004C2AC8" w:rsidP="00503DFD">
      <w:pPr>
        <w:spacing w:line="480" w:lineRule="auto"/>
        <w:ind w:firstLine="720"/>
      </w:pPr>
      <w:r w:rsidRPr="004C4C78">
        <w:lastRenderedPageBreak/>
        <w:t xml:space="preserve">In pursuit of fundamental fairness, accommodations may sometimes be necessary </w:t>
      </w:r>
      <w:r w:rsidR="00A84579" w:rsidRPr="004C4C78">
        <w:t>to ensure that a</w:t>
      </w:r>
      <w:r w:rsidR="00EE1DD6" w:rsidRPr="004C4C78">
        <w:t xml:space="preserve">ll respondents </w:t>
      </w:r>
      <w:r w:rsidR="00A84579" w:rsidRPr="004C4C78">
        <w:t xml:space="preserve">have a full and fair opportunity to </w:t>
      </w:r>
      <w:proofErr w:type="gramStart"/>
      <w:r w:rsidR="00A84579" w:rsidRPr="004C4C78">
        <w:t>be heard</w:t>
      </w:r>
      <w:proofErr w:type="gramEnd"/>
      <w:r w:rsidR="00A84579" w:rsidRPr="004C4C78">
        <w:t xml:space="preserve"> in immigration court. </w:t>
      </w:r>
      <w:r w:rsidR="00B83D4D" w:rsidRPr="004C4C78">
        <w:t xml:space="preserve"> </w:t>
      </w:r>
      <w:r w:rsidR="0014361A" w:rsidRPr="004C4C78">
        <w:t xml:space="preserve">For example, the BIA requires noncitizens who do not speak English to have access to a “competent interpreter,” so that respondents and immigration judges alike may understand each other. </w:t>
      </w:r>
      <w:r w:rsidR="0014361A" w:rsidRPr="004C4C78">
        <w:rPr>
          <w:i/>
        </w:rPr>
        <w:t>Matter of Tomas</w:t>
      </w:r>
      <w:r w:rsidR="0014361A" w:rsidRPr="004C4C78">
        <w:t>, 19 I. &amp; N. Dec. 464 (BIA 1987).  Accommodations for people with mental health is</w:t>
      </w:r>
      <w:r w:rsidR="00A8556C" w:rsidRPr="004C4C78">
        <w:t>sues function in a similar way.</w:t>
      </w:r>
      <w:r w:rsidR="008C3306" w:rsidRPr="004C4C78">
        <w:t xml:space="preserve"> Absent </w:t>
      </w:r>
      <w:r w:rsidR="009E76A7">
        <w:t xml:space="preserve">such </w:t>
      </w:r>
      <w:r w:rsidR="008C3306" w:rsidRPr="004C4C78">
        <w:t xml:space="preserve">safeguards, a person with a mental </w:t>
      </w:r>
      <w:r w:rsidR="00E16CEA" w:rsidRPr="004C4C78">
        <w:t xml:space="preserve">health </w:t>
      </w:r>
      <w:r w:rsidR="008C3306" w:rsidRPr="004C4C78">
        <w:t xml:space="preserve">disability may testify in a way that confuses rather than clarifies the record. </w:t>
      </w:r>
      <w:r w:rsidR="008C3306" w:rsidRPr="004C4C78">
        <w:rPr>
          <w:i/>
        </w:rPr>
        <w:t>See Matter of J-R-R-A</w:t>
      </w:r>
      <w:r w:rsidR="008C3306" w:rsidRPr="004C4C78">
        <w:t>,</w:t>
      </w:r>
      <w:r w:rsidR="006F71D1" w:rsidRPr="004C4C78">
        <w:t xml:space="preserve"> 26 I. &amp; N. Dec. 609, 611–12</w:t>
      </w:r>
      <w:r w:rsidR="008C3306" w:rsidRPr="004C4C78">
        <w:t xml:space="preserve"> (BIA 2015)</w:t>
      </w:r>
      <w:r w:rsidR="006F71D1" w:rsidRPr="004C4C78">
        <w:t xml:space="preserve"> (describing importance of safeguards for person with cognitive </w:t>
      </w:r>
      <w:r w:rsidR="00253520" w:rsidRPr="004C4C78">
        <w:t>limitations</w:t>
      </w:r>
      <w:r w:rsidR="006F71D1" w:rsidRPr="004C4C78">
        <w:t>)</w:t>
      </w:r>
      <w:r w:rsidR="008C3306" w:rsidRPr="004C4C78">
        <w:t xml:space="preserve">. </w:t>
      </w:r>
    </w:p>
    <w:p w14:paraId="4B44B55E" w14:textId="311ADC0D" w:rsidR="00840CA1" w:rsidRPr="004C4C78" w:rsidRDefault="00827988" w:rsidP="00503DFD">
      <w:pPr>
        <w:spacing w:line="480" w:lineRule="auto"/>
        <w:ind w:firstLine="720"/>
      </w:pPr>
      <w:r w:rsidRPr="004C4C78">
        <w:t>Federal law and regulations require IJs to prescribe safeguards when</w:t>
      </w:r>
      <w:r w:rsidR="009049FF" w:rsidRPr="004C4C78">
        <w:t xml:space="preserve"> necessary to</w:t>
      </w:r>
      <w:r w:rsidRPr="004C4C78">
        <w:t xml:space="preserve"> en</w:t>
      </w:r>
      <w:r w:rsidR="007A2EDE" w:rsidRPr="004C4C78">
        <w:t>sure that each respondent has a</w:t>
      </w:r>
      <w:r w:rsidRPr="004C4C78">
        <w:t xml:space="preserve">n “adequate opportunity to present his or her case during a hearing.” </w:t>
      </w:r>
      <w:r w:rsidRPr="004C4C78">
        <w:rPr>
          <w:i/>
        </w:rPr>
        <w:t>Matter of M-A-M</w:t>
      </w:r>
      <w:r w:rsidRPr="004C4C78">
        <w:t xml:space="preserve">, 25 I. &amp; N. Dec. 474, </w:t>
      </w:r>
      <w:r w:rsidR="00D00DF2" w:rsidRPr="004C4C78">
        <w:t>477–</w:t>
      </w:r>
      <w:r w:rsidRPr="004C4C78">
        <w:t>78 (BIA 2011)</w:t>
      </w:r>
      <w:r w:rsidR="00D00DF2" w:rsidRPr="004C4C78">
        <w:t xml:space="preserve"> (“The Act’s invocation of safeguards presumes that proceedings can go </w:t>
      </w:r>
      <w:r w:rsidR="009049FF" w:rsidRPr="004C4C78">
        <w:t>forward . . .</w:t>
      </w:r>
      <w:r w:rsidR="00D00DF2" w:rsidRPr="004C4C78">
        <w:t xml:space="preserve"> provided the proceeding is conducted fairly.”)</w:t>
      </w:r>
      <w:r w:rsidR="007A2EDE" w:rsidRPr="004C4C78">
        <w:t xml:space="preserve">; </w:t>
      </w:r>
      <w:r w:rsidR="00C842E8" w:rsidRPr="004C4C78">
        <w:t>INA § 240(b</w:t>
      </w:r>
      <w:proofErr w:type="gramStart"/>
      <w:r w:rsidR="00C842E8" w:rsidRPr="004C4C78">
        <w:t>)(</w:t>
      </w:r>
      <w:proofErr w:type="gramEnd"/>
      <w:r w:rsidR="00C842E8" w:rsidRPr="004C4C78">
        <w:t>3); 8 C.F.R. §</w:t>
      </w:r>
      <w:r w:rsidR="00797035" w:rsidRPr="004C4C78">
        <w:t>§</w:t>
      </w:r>
      <w:r w:rsidR="00C842E8" w:rsidRPr="004C4C78">
        <w:t xml:space="preserve"> 1240.4, 1240.43 (2016).</w:t>
      </w:r>
      <w:r w:rsidR="0014361A" w:rsidRPr="004C4C78">
        <w:t xml:space="preserve"> </w:t>
      </w:r>
      <w:r w:rsidR="00735DA4" w:rsidRPr="004C4C78">
        <w:t xml:space="preserve">The BIA requires immigration courts to make these accommodations </w:t>
      </w:r>
      <w:proofErr w:type="gramStart"/>
      <w:r w:rsidR="00735DA4" w:rsidRPr="004C4C78">
        <w:t>for people with mental health conditions regardless of whether the disability rises to the level of incompetency</w:t>
      </w:r>
      <w:proofErr w:type="gramEnd"/>
      <w:r w:rsidR="00735DA4" w:rsidRPr="004C4C78">
        <w:t xml:space="preserve">. </w:t>
      </w:r>
      <w:r w:rsidR="00735DA4" w:rsidRPr="004C4C78">
        <w:rPr>
          <w:i/>
        </w:rPr>
        <w:t>See</w:t>
      </w:r>
      <w:r w:rsidR="00735DA4" w:rsidRPr="004C4C78">
        <w:t xml:space="preserve"> </w:t>
      </w:r>
      <w:r w:rsidR="00735DA4" w:rsidRPr="004C4C78">
        <w:rPr>
          <w:i/>
        </w:rPr>
        <w:t>Matter of J-R-R-A</w:t>
      </w:r>
      <w:r w:rsidR="00735DA4" w:rsidRPr="004C4C78">
        <w:t xml:space="preserve">, 26 I. &amp; N. Dec. 609, 610–12 (BIA 2015); </w:t>
      </w:r>
      <w:r w:rsidR="00735DA4" w:rsidRPr="004C4C78">
        <w:rPr>
          <w:i/>
        </w:rPr>
        <w:t>Matter of M-A-M</w:t>
      </w:r>
      <w:r w:rsidR="00735DA4" w:rsidRPr="004C4C78">
        <w:t xml:space="preserve">, 25 I. &amp; N. Dec. 474, 480 (BIA 2011).  </w:t>
      </w:r>
    </w:p>
    <w:p w14:paraId="25EEB051" w14:textId="287142C3" w:rsidR="0069101B" w:rsidRPr="004C4C78" w:rsidRDefault="0069101B" w:rsidP="00503DFD">
      <w:pPr>
        <w:spacing w:line="480" w:lineRule="auto"/>
      </w:pPr>
      <w:r w:rsidRPr="004C4C78">
        <w:t xml:space="preserve"> </w:t>
      </w:r>
      <w:r w:rsidRPr="004C4C78">
        <w:tab/>
      </w:r>
      <w:r w:rsidR="00125439" w:rsidRPr="004C4C78">
        <w:t>Federal regulations guarantee to every noncitizen in removal proceedings a reasonable opportunity to examine and present evidence, including in the form of testimony</w:t>
      </w:r>
      <w:r w:rsidR="00D24DAB" w:rsidRPr="004C4C78">
        <w:t xml:space="preserve"> from</w:t>
      </w:r>
      <w:r w:rsidR="00125439" w:rsidRPr="004C4C78">
        <w:t xml:space="preserve"> the respondent. </w:t>
      </w:r>
      <w:proofErr w:type="gramStart"/>
      <w:r w:rsidR="00125439" w:rsidRPr="004C4C78">
        <w:t>8</w:t>
      </w:r>
      <w:proofErr w:type="gramEnd"/>
      <w:r w:rsidR="00125439" w:rsidRPr="004C4C78">
        <w:t xml:space="preserve"> C.F.R. § 1240.10. If unaccommodated, </w:t>
      </w:r>
      <w:r w:rsidR="002126A9" w:rsidRPr="004C4C78">
        <w:rPr>
          <w:highlight w:val="yellow"/>
        </w:rPr>
        <w:t>PTSD or [mood disorder]</w:t>
      </w:r>
      <w:r w:rsidR="00125439" w:rsidRPr="004C4C78">
        <w:t xml:space="preserve"> such as </w:t>
      </w:r>
      <w:r w:rsidR="00125439" w:rsidRPr="004C4C78">
        <w:rPr>
          <w:highlight w:val="yellow"/>
        </w:rPr>
        <w:t>CLIENT’s</w:t>
      </w:r>
      <w:r w:rsidR="00125439" w:rsidRPr="004C4C78">
        <w:t xml:space="preserve"> can </w:t>
      </w:r>
      <w:r w:rsidR="00F34517" w:rsidRPr="004C4C78">
        <w:t xml:space="preserve">infringe on </w:t>
      </w:r>
      <w:r w:rsidR="00884FEF" w:rsidRPr="004C4C78">
        <w:rPr>
          <w:highlight w:val="yellow"/>
        </w:rPr>
        <w:t>his/her</w:t>
      </w:r>
      <w:r w:rsidR="00F34517" w:rsidRPr="004C4C78">
        <w:t xml:space="preserve"> </w:t>
      </w:r>
      <w:r w:rsidR="00860D1C" w:rsidRPr="004C4C78">
        <w:t xml:space="preserve">right </w:t>
      </w:r>
      <w:r w:rsidR="00F34517" w:rsidRPr="004C4C78">
        <w:t>to have a fair immigration proceeding</w:t>
      </w:r>
      <w:r w:rsidR="00125439" w:rsidRPr="004C4C78">
        <w:t xml:space="preserve">. </w:t>
      </w:r>
      <w:r w:rsidR="005D04C9" w:rsidRPr="004C4C78">
        <w:t>S</w:t>
      </w:r>
      <w:r w:rsidR="00840CA1" w:rsidRPr="004C4C78">
        <w:t>uch accommod</w:t>
      </w:r>
      <w:r w:rsidR="00DC734B" w:rsidRPr="004C4C78">
        <w:t xml:space="preserve">ations are also </w:t>
      </w:r>
      <w:r w:rsidR="00A50703" w:rsidRPr="004C4C78">
        <w:t xml:space="preserve">required by </w:t>
      </w:r>
      <w:r w:rsidR="00840CA1" w:rsidRPr="004C4C78">
        <w:t xml:space="preserve">federal laws that require public </w:t>
      </w:r>
      <w:r w:rsidR="00641780" w:rsidRPr="004C4C78">
        <w:t xml:space="preserve">entities </w:t>
      </w:r>
      <w:r w:rsidR="00840CA1" w:rsidRPr="004C4C78">
        <w:t xml:space="preserve">to accommodate people with </w:t>
      </w:r>
      <w:r w:rsidR="002126A9" w:rsidRPr="004C4C78">
        <w:rPr>
          <w:highlight w:val="yellow"/>
        </w:rPr>
        <w:t>PTSD or [mood disorder]</w:t>
      </w:r>
      <w:r w:rsidR="00641780" w:rsidRPr="004C4C78">
        <w:t xml:space="preserve">. </w:t>
      </w:r>
      <w:r w:rsidR="00DC734B" w:rsidRPr="004C4C78">
        <w:t>Section 504 of the Rehabilitation Act</w:t>
      </w:r>
      <w:r w:rsidR="00D1763A" w:rsidRPr="004C4C78">
        <w:t xml:space="preserve"> </w:t>
      </w:r>
      <w:r w:rsidR="00641780" w:rsidRPr="004C4C78">
        <w:t xml:space="preserve">compels </w:t>
      </w:r>
      <w:r w:rsidR="00D1763A" w:rsidRPr="004C4C78">
        <w:t xml:space="preserve">all </w:t>
      </w:r>
      <w:r w:rsidR="002B0AD0" w:rsidRPr="004C4C78">
        <w:lastRenderedPageBreak/>
        <w:t>executive agencies</w:t>
      </w:r>
      <w:r w:rsidR="00D1763A" w:rsidRPr="004C4C78">
        <w:t xml:space="preserve"> to p</w:t>
      </w:r>
      <w:r w:rsidR="00641780" w:rsidRPr="004C4C78">
        <w:t xml:space="preserve">rovide “reasonable accommodations” for individuals with disabilities.  </w:t>
      </w:r>
      <w:r w:rsidR="00641780" w:rsidRPr="004C4C78">
        <w:rPr>
          <w:i/>
        </w:rPr>
        <w:t>See</w:t>
      </w:r>
      <w:r w:rsidR="00641780" w:rsidRPr="004C4C78">
        <w:t xml:space="preserve"> 29 U.S.C. § 794(a)</w:t>
      </w:r>
      <w:proofErr w:type="gramStart"/>
      <w:r w:rsidR="00641780" w:rsidRPr="004C4C78">
        <w:t>;</w:t>
      </w:r>
      <w:proofErr w:type="gramEnd"/>
      <w:r w:rsidR="00641780" w:rsidRPr="004C4C78">
        <w:t xml:space="preserve"> 28 C.F.R. § 39.130 (</w:t>
      </w:r>
      <w:r w:rsidR="00F7118D" w:rsidRPr="004C4C78">
        <w:t xml:space="preserve">applying the Rehabilitation Act </w:t>
      </w:r>
      <w:r w:rsidR="00641780" w:rsidRPr="004C4C78">
        <w:t xml:space="preserve">to the Department of Justice). </w:t>
      </w:r>
      <w:r w:rsidR="00C422F9" w:rsidRPr="004C4C78">
        <w:t xml:space="preserve">Under the </w:t>
      </w:r>
      <w:r w:rsidR="00641780" w:rsidRPr="004C4C78">
        <w:rPr>
          <w:rFonts w:eastAsia="Times New Roman"/>
        </w:rPr>
        <w:t>Act</w:t>
      </w:r>
      <w:r w:rsidR="00C422F9" w:rsidRPr="004C4C78">
        <w:rPr>
          <w:rFonts w:eastAsia="Times New Roman"/>
        </w:rPr>
        <w:t>,</w:t>
      </w:r>
      <w:r w:rsidR="00641780" w:rsidRPr="004C4C78">
        <w:rPr>
          <w:rFonts w:eastAsia="Times New Roman"/>
        </w:rPr>
        <w:t xml:space="preserve"> </w:t>
      </w:r>
      <w:r w:rsidR="00C422F9" w:rsidRPr="004C4C78">
        <w:rPr>
          <w:rFonts w:eastAsia="Times New Roman"/>
        </w:rPr>
        <w:t xml:space="preserve">this Court has an affirmative obligation </w:t>
      </w:r>
      <w:r w:rsidR="00641780" w:rsidRPr="004C4C78">
        <w:rPr>
          <w:rFonts w:eastAsia="Times New Roman"/>
        </w:rPr>
        <w:t xml:space="preserve">to make reasonable modifications in “policies, practices, and procedures” to ensure </w:t>
      </w:r>
      <w:r w:rsidR="00C422F9" w:rsidRPr="004C4C78">
        <w:rPr>
          <w:rFonts w:eastAsia="Times New Roman"/>
        </w:rPr>
        <w:t>people with disabilities</w:t>
      </w:r>
      <w:r w:rsidR="002970BD" w:rsidRPr="004C4C78">
        <w:rPr>
          <w:rFonts w:eastAsia="Times New Roman"/>
        </w:rPr>
        <w:t xml:space="preserve"> have</w:t>
      </w:r>
      <w:r w:rsidR="00641780" w:rsidRPr="004C4C78">
        <w:rPr>
          <w:rFonts w:eastAsia="Times New Roman"/>
        </w:rPr>
        <w:t xml:space="preserve"> meaningful access to</w:t>
      </w:r>
      <w:r w:rsidR="00750BFF" w:rsidRPr="004C4C78">
        <w:rPr>
          <w:rFonts w:eastAsia="Times New Roman"/>
        </w:rPr>
        <w:t xml:space="preserve"> services</w:t>
      </w:r>
      <w:r w:rsidR="00641780" w:rsidRPr="004C4C78">
        <w:rPr>
          <w:rFonts w:eastAsia="Times New Roman"/>
        </w:rPr>
        <w:t xml:space="preserve"> </w:t>
      </w:r>
      <w:r w:rsidR="00750BFF" w:rsidRPr="004C4C78">
        <w:rPr>
          <w:rFonts w:eastAsia="Times New Roman"/>
        </w:rPr>
        <w:t>and</w:t>
      </w:r>
      <w:r w:rsidR="00641780" w:rsidRPr="004C4C78">
        <w:rPr>
          <w:rFonts w:eastAsia="Times New Roman"/>
        </w:rPr>
        <w:t xml:space="preserve"> program</w:t>
      </w:r>
      <w:r w:rsidR="00750BFF" w:rsidRPr="004C4C78">
        <w:rPr>
          <w:rFonts w:eastAsia="Times New Roman"/>
        </w:rPr>
        <w:t>s</w:t>
      </w:r>
      <w:r w:rsidR="00641780" w:rsidRPr="004C4C78">
        <w:rPr>
          <w:rFonts w:eastAsia="Times New Roman"/>
        </w:rPr>
        <w:t>.</w:t>
      </w:r>
      <w:r w:rsidR="00C422F9" w:rsidRPr="004C4C78">
        <w:rPr>
          <w:rFonts w:eastAsia="Times New Roman"/>
        </w:rPr>
        <w:t xml:space="preserve"> </w:t>
      </w:r>
      <w:r w:rsidR="00C422F9" w:rsidRPr="004C4C78">
        <w:rPr>
          <w:i/>
        </w:rPr>
        <w:t>See, e.g.,</w:t>
      </w:r>
      <w:r w:rsidR="00C422F9" w:rsidRPr="004C4C78">
        <w:rPr>
          <w:rFonts w:eastAsia="Times New Roman"/>
        </w:rPr>
        <w:t xml:space="preserve"> </w:t>
      </w:r>
      <w:r w:rsidR="00C422F9" w:rsidRPr="004C4C78">
        <w:rPr>
          <w:rFonts w:eastAsia="Times New Roman"/>
          <w:i/>
        </w:rPr>
        <w:t>Franco-Gonzales v. Holder</w:t>
      </w:r>
      <w:r w:rsidR="00C422F9" w:rsidRPr="004C4C78">
        <w:rPr>
          <w:rFonts w:eastAsia="Times New Roman"/>
        </w:rPr>
        <w:t xml:space="preserve">, 767 F. Supp. 2d 1034, 1051 (C.D. Cal. 2010) (granting safeguards for mentally ill detainees in immigration court under the Rehabilitation Act). The Supreme Court also recognized this duty in </w:t>
      </w:r>
      <w:r w:rsidR="00C422F9" w:rsidRPr="004C4C78">
        <w:rPr>
          <w:i/>
        </w:rPr>
        <w:t>Tennessee v. Lane</w:t>
      </w:r>
      <w:r w:rsidR="00C422F9" w:rsidRPr="004C4C78">
        <w:t xml:space="preserve">, </w:t>
      </w:r>
      <w:r w:rsidR="00755747" w:rsidRPr="004C4C78">
        <w:t xml:space="preserve">where the Court emphasized that accommodations may be required for disabled individuals </w:t>
      </w:r>
      <w:r w:rsidR="00C422F9" w:rsidRPr="004C4C78">
        <w:t>in courts as a guarantee of their f</w:t>
      </w:r>
      <w:r w:rsidR="00755747" w:rsidRPr="004C4C78">
        <w:t>undamental right of access to the court</w:t>
      </w:r>
      <w:r w:rsidR="005966B7" w:rsidRPr="004C4C78">
        <w:t>s</w:t>
      </w:r>
      <w:r w:rsidR="00F86519" w:rsidRPr="004C4C78">
        <w:t xml:space="preserve"> under due process protections. </w:t>
      </w:r>
      <w:proofErr w:type="gramStart"/>
      <w:r w:rsidR="00641780" w:rsidRPr="004C4C78">
        <w:t>541</w:t>
      </w:r>
      <w:proofErr w:type="gramEnd"/>
      <w:r w:rsidR="00641780" w:rsidRPr="004C4C78">
        <w:t xml:space="preserve"> U.S. 509 (2014).</w:t>
      </w:r>
      <w:r w:rsidR="00641780" w:rsidRPr="004C4C78">
        <w:rPr>
          <w:rStyle w:val="FootnoteReference"/>
        </w:rPr>
        <w:footnoteReference w:id="2"/>
      </w:r>
    </w:p>
    <w:p w14:paraId="50EECCBF" w14:textId="134555A6" w:rsidR="00CD251C" w:rsidRPr="004C4C78" w:rsidRDefault="00B81270" w:rsidP="00503DFD">
      <w:pPr>
        <w:spacing w:line="480" w:lineRule="auto"/>
        <w:ind w:firstLine="720"/>
      </w:pPr>
      <w:r w:rsidRPr="004C4C78">
        <w:t xml:space="preserve">Providing accommodations will also ensure efficient development of the record. </w:t>
      </w:r>
      <w:r w:rsidR="00F15DBA">
        <w:t xml:space="preserve">Immigration judges have </w:t>
      </w:r>
      <w:r w:rsidR="008D1D0E" w:rsidRPr="004C4C78">
        <w:t>an “affirmative obligation to help establish and develop the record</w:t>
      </w:r>
      <w:r w:rsidR="00803474" w:rsidRPr="004C4C78">
        <w:t>.</w:t>
      </w:r>
      <w:r w:rsidR="008D1D0E" w:rsidRPr="004C4C78">
        <w:t xml:space="preserve">”  </w:t>
      </w:r>
      <w:proofErr w:type="spellStart"/>
      <w:r w:rsidR="008D1D0E" w:rsidRPr="004C4C78">
        <w:rPr>
          <w:rStyle w:val="Emphasis"/>
        </w:rPr>
        <w:t>Secaida</w:t>
      </w:r>
      <w:proofErr w:type="spellEnd"/>
      <w:r w:rsidR="008D1D0E" w:rsidRPr="004C4C78">
        <w:rPr>
          <w:rStyle w:val="Emphasis"/>
        </w:rPr>
        <w:t>-Rosales</w:t>
      </w:r>
      <w:r w:rsidR="002B3474" w:rsidRPr="004C4C78">
        <w:rPr>
          <w:rStyle w:val="Emphasis"/>
        </w:rPr>
        <w:t xml:space="preserve"> v. </w:t>
      </w:r>
      <w:r w:rsidR="00712900" w:rsidRPr="004C4C78">
        <w:rPr>
          <w:rStyle w:val="Emphasis"/>
        </w:rPr>
        <w:t>Immigration and Naturalization Service</w:t>
      </w:r>
      <w:r w:rsidR="008D1D0E" w:rsidRPr="004C4C78">
        <w:rPr>
          <w:rStyle w:val="Emphasis"/>
        </w:rPr>
        <w:t>,</w:t>
      </w:r>
      <w:r w:rsidR="008D1D0E" w:rsidRPr="004C4C78">
        <w:rPr>
          <w:rStyle w:val="apple-converted-space"/>
        </w:rPr>
        <w:t> </w:t>
      </w:r>
      <w:r w:rsidR="008D1D0E" w:rsidRPr="004C4C78">
        <w:t>331 F.3d</w:t>
      </w:r>
      <w:r w:rsidR="00207C07" w:rsidRPr="004C4C78">
        <w:t xml:space="preserve"> 297, 306 </w:t>
      </w:r>
      <w:r w:rsidR="008D1D0E" w:rsidRPr="004C4C78">
        <w:t>(</w:t>
      </w:r>
      <w:proofErr w:type="gramStart"/>
      <w:r w:rsidR="008D1D0E" w:rsidRPr="004C4C78">
        <w:t>2d</w:t>
      </w:r>
      <w:proofErr w:type="gramEnd"/>
      <w:r w:rsidR="008D1D0E" w:rsidRPr="004C4C78">
        <w:t xml:space="preserve"> Cir.</w:t>
      </w:r>
      <w:r w:rsidR="00661066" w:rsidRPr="004C4C78">
        <w:t xml:space="preserve"> </w:t>
      </w:r>
      <w:r w:rsidR="008D1D0E" w:rsidRPr="004C4C78">
        <w:t>2003). Many of the safeguards requested in this motion originated in civil or criminal courts, where there has long been recognition of the usefulness of such safeguards in promoting more efficient</w:t>
      </w:r>
      <w:r w:rsidR="002F5933" w:rsidRPr="004C4C78">
        <w:t xml:space="preserve"> and fair</w:t>
      </w:r>
      <w:r w:rsidR="008D1D0E" w:rsidRPr="004C4C78">
        <w:t xml:space="preserve"> development of the record. </w:t>
      </w:r>
      <w:r w:rsidR="008D1D0E" w:rsidRPr="004C4C78">
        <w:rPr>
          <w:i/>
        </w:rPr>
        <w:t>See, e.g.</w:t>
      </w:r>
      <w:r w:rsidR="008D1D0E" w:rsidRPr="004C4C78">
        <w:t xml:space="preserve">, </w:t>
      </w:r>
      <w:r w:rsidR="008D1D0E" w:rsidRPr="004C4C78">
        <w:rPr>
          <w:i/>
        </w:rPr>
        <w:t>U</w:t>
      </w:r>
      <w:r w:rsidR="003F1492" w:rsidRPr="004C4C78">
        <w:rPr>
          <w:i/>
        </w:rPr>
        <w:t>nited States</w:t>
      </w:r>
      <w:r w:rsidR="008D1D0E" w:rsidRPr="004C4C78">
        <w:rPr>
          <w:i/>
        </w:rPr>
        <w:t xml:space="preserve"> v. </w:t>
      </w:r>
      <w:proofErr w:type="spellStart"/>
      <w:r w:rsidR="008D1D0E" w:rsidRPr="004C4C78">
        <w:rPr>
          <w:i/>
        </w:rPr>
        <w:t>Salameh</w:t>
      </w:r>
      <w:proofErr w:type="spellEnd"/>
      <w:r w:rsidR="008D1D0E" w:rsidRPr="004C4C78">
        <w:t>, 152 F.3d 88, 127 (</w:t>
      </w:r>
      <w:proofErr w:type="gramStart"/>
      <w:r w:rsidR="008D1D0E" w:rsidRPr="004C4C78">
        <w:t>2d</w:t>
      </w:r>
      <w:proofErr w:type="gramEnd"/>
      <w:r w:rsidR="008D1D0E" w:rsidRPr="004C4C78">
        <w:t xml:space="preserve"> Cir. 1998) (allowing accommodations in order to develop testimony); </w:t>
      </w:r>
      <w:r w:rsidR="008D1D0E" w:rsidRPr="004C4C78">
        <w:rPr>
          <w:i/>
        </w:rPr>
        <w:t>U</w:t>
      </w:r>
      <w:r w:rsidR="003F1492" w:rsidRPr="004C4C78">
        <w:rPr>
          <w:i/>
        </w:rPr>
        <w:t>nited States</w:t>
      </w:r>
      <w:r w:rsidR="00207F9F" w:rsidRPr="004C4C78">
        <w:rPr>
          <w:i/>
        </w:rPr>
        <w:t xml:space="preserve"> v. Archdale</w:t>
      </w:r>
      <w:r w:rsidR="00207F9F" w:rsidRPr="004C4C78">
        <w:t>, 229 F.3d 861 (9th Cir. 2000) (permitting leading questions when the subject matter of the questioning was traumatic for witness being questioned)</w:t>
      </w:r>
      <w:r w:rsidR="006321A8" w:rsidRPr="004C4C78">
        <w:t xml:space="preserve">. </w:t>
      </w:r>
      <w:r w:rsidR="008D1D0E" w:rsidRPr="004C4C78">
        <w:t xml:space="preserve">Prescribing these safeguards will enhance, rather </w:t>
      </w:r>
      <w:r w:rsidR="008D1D0E" w:rsidRPr="004C4C78">
        <w:lastRenderedPageBreak/>
        <w:t xml:space="preserve">than detract, from the Court’s aim of ensuring sufficient development of the record in a fundamentally fair proceeding. </w:t>
      </w:r>
    </w:p>
    <w:p w14:paraId="74319380" w14:textId="40224957" w:rsidR="00700C68" w:rsidRPr="0080717C" w:rsidRDefault="00A4757D" w:rsidP="0080717C">
      <w:pPr>
        <w:pStyle w:val="ListParagraph"/>
        <w:numPr>
          <w:ilvl w:val="0"/>
          <w:numId w:val="15"/>
        </w:numPr>
        <w:spacing w:line="480" w:lineRule="auto"/>
        <w:rPr>
          <w:rFonts w:ascii="Times New Roman" w:hAnsi="Times New Roman" w:cs="Times New Roman"/>
          <w:b/>
          <w:sz w:val="24"/>
          <w:szCs w:val="24"/>
        </w:rPr>
      </w:pPr>
      <w:bookmarkStart w:id="1" w:name="_Hlk483322071"/>
      <w:r w:rsidRPr="0080717C" w:rsidDel="00A4757D">
        <w:rPr>
          <w:b/>
        </w:rPr>
        <w:t xml:space="preserve"> </w:t>
      </w:r>
      <w:r w:rsidR="007604E3" w:rsidRPr="00411E66">
        <w:rPr>
          <w:rFonts w:ascii="Times New Roman" w:hAnsi="Times New Roman" w:cs="Times New Roman"/>
          <w:b/>
          <w:sz w:val="24"/>
          <w:szCs w:val="24"/>
          <w:highlight w:val="yellow"/>
        </w:rPr>
        <w:t>[</w:t>
      </w:r>
      <w:proofErr w:type="gramStart"/>
      <w:r w:rsidR="000809CE" w:rsidRPr="00411E66">
        <w:rPr>
          <w:rFonts w:ascii="Times New Roman" w:hAnsi="Times New Roman" w:cs="Times New Roman"/>
          <w:b/>
          <w:i/>
          <w:sz w:val="24"/>
          <w:szCs w:val="24"/>
          <w:highlight w:val="yellow"/>
        </w:rPr>
        <w:t>t</w:t>
      </w:r>
      <w:r w:rsidR="000809CE" w:rsidRPr="00F54266">
        <w:rPr>
          <w:rFonts w:ascii="Times New Roman" w:hAnsi="Times New Roman" w:cs="Times New Roman"/>
          <w:b/>
          <w:i/>
          <w:sz w:val="24"/>
          <w:szCs w:val="24"/>
          <w:highlight w:val="yellow"/>
        </w:rPr>
        <w:t>his</w:t>
      </w:r>
      <w:proofErr w:type="gramEnd"/>
      <w:r w:rsidR="000809CE" w:rsidRPr="00F54266">
        <w:rPr>
          <w:rFonts w:ascii="Times New Roman" w:hAnsi="Times New Roman" w:cs="Times New Roman"/>
          <w:b/>
          <w:i/>
          <w:sz w:val="24"/>
          <w:szCs w:val="24"/>
          <w:highlight w:val="yellow"/>
        </w:rPr>
        <w:t xml:space="preserve"> section is to be included ONLY if you conclude that your client should not testify. It is </w:t>
      </w:r>
      <w:r w:rsidR="007604E3" w:rsidRPr="00F54266">
        <w:rPr>
          <w:rFonts w:ascii="Times New Roman" w:hAnsi="Times New Roman" w:cs="Times New Roman"/>
          <w:b/>
          <w:sz w:val="24"/>
          <w:szCs w:val="24"/>
          <w:highlight w:val="yellow"/>
        </w:rPr>
        <w:t xml:space="preserve">OPTIONAL] </w:t>
      </w:r>
      <w:bookmarkEnd w:id="1"/>
      <w:r w:rsidR="007604E3" w:rsidRPr="0080717C">
        <w:rPr>
          <w:rFonts w:ascii="Times New Roman" w:hAnsi="Times New Roman" w:cs="Times New Roman"/>
          <w:b/>
          <w:sz w:val="24"/>
          <w:szCs w:val="24"/>
        </w:rPr>
        <w:t xml:space="preserve">Because of </w:t>
      </w:r>
      <w:r w:rsidR="007604E3" w:rsidRPr="0080717C">
        <w:rPr>
          <w:rFonts w:ascii="Times New Roman" w:hAnsi="Times New Roman" w:cs="Times New Roman"/>
          <w:b/>
          <w:sz w:val="24"/>
          <w:szCs w:val="24"/>
          <w:highlight w:val="yellow"/>
        </w:rPr>
        <w:t>CLIENT’s</w:t>
      </w:r>
      <w:r w:rsidR="0032305D">
        <w:rPr>
          <w:rFonts w:ascii="Times New Roman" w:hAnsi="Times New Roman" w:cs="Times New Roman"/>
          <w:b/>
          <w:sz w:val="24"/>
          <w:szCs w:val="24"/>
        </w:rPr>
        <w:t xml:space="preserve"> Mental Health Conditions, </w:t>
      </w:r>
      <w:r w:rsidR="00700C68" w:rsidRPr="0080717C">
        <w:rPr>
          <w:rFonts w:ascii="Times New Roman" w:hAnsi="Times New Roman" w:cs="Times New Roman"/>
          <w:b/>
          <w:sz w:val="24"/>
          <w:szCs w:val="24"/>
        </w:rPr>
        <w:t xml:space="preserve">The Court Should </w:t>
      </w:r>
      <w:r w:rsidR="005E2F9D" w:rsidRPr="0080717C">
        <w:rPr>
          <w:rFonts w:ascii="Times New Roman" w:hAnsi="Times New Roman" w:cs="Times New Roman"/>
          <w:b/>
          <w:sz w:val="24"/>
          <w:szCs w:val="24"/>
        </w:rPr>
        <w:t xml:space="preserve">Allow the Case to Proceed Without </w:t>
      </w:r>
      <w:r w:rsidR="005E2F9D" w:rsidRPr="0080717C">
        <w:rPr>
          <w:rFonts w:ascii="Times New Roman" w:hAnsi="Times New Roman" w:cs="Times New Roman"/>
          <w:b/>
          <w:sz w:val="24"/>
          <w:szCs w:val="24"/>
          <w:highlight w:val="yellow"/>
        </w:rPr>
        <w:t>CLIENT’s</w:t>
      </w:r>
      <w:r w:rsidR="005E2F9D" w:rsidRPr="0080717C">
        <w:rPr>
          <w:rFonts w:ascii="Times New Roman" w:hAnsi="Times New Roman" w:cs="Times New Roman"/>
          <w:b/>
          <w:sz w:val="24"/>
          <w:szCs w:val="24"/>
        </w:rPr>
        <w:t xml:space="preserve"> Testimony </w:t>
      </w:r>
      <w:r w:rsidR="007C2ECA" w:rsidRPr="0080717C">
        <w:rPr>
          <w:rFonts w:ascii="Times New Roman" w:hAnsi="Times New Roman" w:cs="Times New Roman"/>
          <w:b/>
          <w:sz w:val="24"/>
          <w:szCs w:val="24"/>
        </w:rPr>
        <w:t xml:space="preserve">and Allow </w:t>
      </w:r>
      <w:r w:rsidR="00FA1D98" w:rsidRPr="0080717C">
        <w:rPr>
          <w:rFonts w:ascii="Times New Roman" w:hAnsi="Times New Roman" w:cs="Times New Roman"/>
          <w:b/>
          <w:sz w:val="24"/>
          <w:szCs w:val="24"/>
          <w:highlight w:val="yellow"/>
        </w:rPr>
        <w:t>CLIENT’s [Social Worker/Friend/Family</w:t>
      </w:r>
      <w:r w:rsidR="00CF3FEB" w:rsidRPr="0080717C">
        <w:rPr>
          <w:rFonts w:ascii="Times New Roman" w:hAnsi="Times New Roman" w:cs="Times New Roman"/>
          <w:b/>
          <w:sz w:val="24"/>
          <w:szCs w:val="24"/>
          <w:highlight w:val="yellow"/>
        </w:rPr>
        <w:t xml:space="preserve"> Member]</w:t>
      </w:r>
      <w:r w:rsidR="00CF3FEB" w:rsidRPr="0080717C">
        <w:rPr>
          <w:rFonts w:ascii="Times New Roman" w:hAnsi="Times New Roman" w:cs="Times New Roman"/>
          <w:b/>
          <w:sz w:val="24"/>
          <w:szCs w:val="24"/>
        </w:rPr>
        <w:t xml:space="preserve"> to Testify in </w:t>
      </w:r>
      <w:r w:rsidR="00CF3FEB" w:rsidRPr="0080717C">
        <w:rPr>
          <w:rFonts w:ascii="Times New Roman" w:hAnsi="Times New Roman" w:cs="Times New Roman"/>
          <w:b/>
          <w:sz w:val="24"/>
          <w:szCs w:val="24"/>
          <w:highlight w:val="yellow"/>
        </w:rPr>
        <w:t>[His/Her]</w:t>
      </w:r>
      <w:r w:rsidR="00CF3FEB" w:rsidRPr="0080717C">
        <w:rPr>
          <w:rFonts w:ascii="Times New Roman" w:hAnsi="Times New Roman" w:cs="Times New Roman"/>
          <w:b/>
          <w:sz w:val="24"/>
          <w:szCs w:val="24"/>
        </w:rPr>
        <w:t xml:space="preserve"> Stead</w:t>
      </w:r>
    </w:p>
    <w:p w14:paraId="2CF486B8" w14:textId="275BB527" w:rsidR="00700C68" w:rsidRPr="004C4C78" w:rsidRDefault="00700C68" w:rsidP="00700C68">
      <w:pPr>
        <w:spacing w:line="480" w:lineRule="auto"/>
        <w:ind w:firstLine="720"/>
        <w:rPr>
          <w:i/>
        </w:rPr>
      </w:pPr>
      <w:r w:rsidRPr="004C4C78">
        <w:t>Federal law guarantees to immigrant respondents a reasonable opportunity to examine the evidence against them, present evidence on their own behalf, and cross-examine witnesses presented by the government. INA § 240 (b</w:t>
      </w:r>
      <w:proofErr w:type="gramStart"/>
      <w:r w:rsidRPr="004C4C78">
        <w:t>)(</w:t>
      </w:r>
      <w:proofErr w:type="gramEnd"/>
      <w:r w:rsidRPr="004C4C78">
        <w:t xml:space="preserve">4). This reasonable opportunity may include, but does </w:t>
      </w:r>
      <w:r w:rsidR="0042131D" w:rsidRPr="004C4C78">
        <w:t>not require</w:t>
      </w:r>
      <w:r w:rsidR="00C659F8" w:rsidRPr="004C4C78">
        <w:t xml:space="preserve"> </w:t>
      </w:r>
      <w:r w:rsidRPr="004C4C78">
        <w:t xml:space="preserve">the respondent to testify on his or her own behalf. This is the case particularly when the respondent may have other people available to testify in his or her stead, or when relevant evidence </w:t>
      </w:r>
      <w:proofErr w:type="gramStart"/>
      <w:r w:rsidRPr="004C4C78">
        <w:t>can be procured</w:t>
      </w:r>
      <w:proofErr w:type="gramEnd"/>
      <w:r w:rsidRPr="004C4C78">
        <w:t xml:space="preserve"> in a way that is not contingent on the respondent’s oral testimony. </w:t>
      </w:r>
      <w:r w:rsidRPr="004C4C78">
        <w:rPr>
          <w:i/>
        </w:rPr>
        <w:t xml:space="preserve">See Matter of </w:t>
      </w:r>
      <w:proofErr w:type="spellStart"/>
      <w:r w:rsidRPr="004C4C78">
        <w:rPr>
          <w:i/>
        </w:rPr>
        <w:t>Carillo</w:t>
      </w:r>
      <w:proofErr w:type="spellEnd"/>
      <w:r w:rsidRPr="004C4C78">
        <w:t xml:space="preserve">, 17 I. &amp; N. Dec. 30 (BIA 1979) (respondents not required to testify); </w:t>
      </w:r>
      <w:r w:rsidRPr="004C4C78">
        <w:rPr>
          <w:i/>
        </w:rPr>
        <w:t>Matter of M-A-M</w:t>
      </w:r>
      <w:r w:rsidRPr="004C4C78">
        <w:t>, 25 I. &amp; N. Dec. 474, 483</w:t>
      </w:r>
      <w:r w:rsidR="00385A52" w:rsidRPr="004C4C78">
        <w:t xml:space="preserve"> (BIA 2011)</w:t>
      </w:r>
      <w:r w:rsidRPr="004C4C78">
        <w:t xml:space="preserve"> </w:t>
      </w:r>
      <w:r w:rsidR="003472B9" w:rsidRPr="004C4C78">
        <w:t xml:space="preserve">(suggesting </w:t>
      </w:r>
      <w:r w:rsidRPr="004C4C78">
        <w:t>use of close friend or family member to testify and provide court with information</w:t>
      </w:r>
      <w:r w:rsidR="003472B9" w:rsidRPr="004C4C78">
        <w:t xml:space="preserve"> as a safeguard</w:t>
      </w:r>
      <w:r w:rsidRPr="004C4C78">
        <w:t>).</w:t>
      </w:r>
    </w:p>
    <w:p w14:paraId="3BE10601" w14:textId="162D3D2B" w:rsidR="00E10E30" w:rsidRPr="004C4C78" w:rsidRDefault="00700C68" w:rsidP="00CF703B">
      <w:pPr>
        <w:spacing w:line="480" w:lineRule="auto"/>
        <w:ind w:firstLine="720"/>
      </w:pPr>
      <w:r w:rsidRPr="004C4C78">
        <w:t xml:space="preserve">People with severe mood disorders or PTSD vary in their ability to communicate effectively in the courtroom environment.  If, upon counsel’s advice, </w:t>
      </w:r>
      <w:r w:rsidRPr="004C4C78">
        <w:rPr>
          <w:highlight w:val="yellow"/>
        </w:rPr>
        <w:t>CLIENT</w:t>
      </w:r>
      <w:r w:rsidRPr="004C4C78">
        <w:t xml:space="preserve"> does not testify, the Court should not draw any adverse inference from this decision. </w:t>
      </w:r>
      <w:r w:rsidRPr="004C4C78">
        <w:rPr>
          <w:highlight w:val="yellow"/>
        </w:rPr>
        <w:t>CLIENT’s</w:t>
      </w:r>
      <w:r w:rsidRPr="004C4C78">
        <w:t xml:space="preserve"> inability to testify reflects only the complexity of developing evidence in light of </w:t>
      </w:r>
      <w:r w:rsidRPr="004C4C78">
        <w:rPr>
          <w:highlight w:val="yellow"/>
        </w:rPr>
        <w:t>CLIENT’s</w:t>
      </w:r>
      <w:r w:rsidRPr="004C4C78">
        <w:t xml:space="preserve"> mental health limitations, rather than an invocation of the privilege against self-incrimination. Silence alone is never enough to establish removability. </w:t>
      </w:r>
      <w:r w:rsidRPr="004C4C78">
        <w:rPr>
          <w:i/>
        </w:rPr>
        <w:t>See</w:t>
      </w:r>
      <w:r w:rsidRPr="004C4C78">
        <w:t xml:space="preserve"> </w:t>
      </w:r>
      <w:r w:rsidRPr="004C4C78">
        <w:rPr>
          <w:i/>
        </w:rPr>
        <w:t>Matter of Guevara</w:t>
      </w:r>
      <w:r w:rsidRPr="004C4C78">
        <w:t xml:space="preserve">, 20 I. &amp; N. Dec. 238, 243 (BIA 1990) (respondent’s silence not enough to establish deportability); </w:t>
      </w:r>
      <w:r w:rsidRPr="004C4C78">
        <w:rPr>
          <w:i/>
        </w:rPr>
        <w:t>Matter of J-</w:t>
      </w:r>
      <w:r w:rsidRPr="004C4C78">
        <w:t xml:space="preserve">, </w:t>
      </w:r>
      <w:proofErr w:type="gramStart"/>
      <w:r w:rsidRPr="004C4C78">
        <w:t>8</w:t>
      </w:r>
      <w:proofErr w:type="gramEnd"/>
      <w:r w:rsidRPr="004C4C78">
        <w:t xml:space="preserve"> I. &amp; N. Dec. 568, 572 (BIA 1960) (“Suspicion cannot be solidified into proof by the mere silence of </w:t>
      </w:r>
      <w:r w:rsidRPr="004C4C78">
        <w:lastRenderedPageBreak/>
        <w:t xml:space="preserve">respondent.”). </w:t>
      </w:r>
      <w:r w:rsidR="00385A52" w:rsidRPr="004C4C78">
        <w:t xml:space="preserve">Additionally, </w:t>
      </w:r>
      <w:r w:rsidR="00385A52" w:rsidRPr="004C4C78">
        <w:rPr>
          <w:noProof/>
        </w:rPr>
        <w:t>t</w:t>
      </w:r>
      <w:r w:rsidR="007C2ECA" w:rsidRPr="004C4C78">
        <w:rPr>
          <w:noProof/>
        </w:rPr>
        <w:t xml:space="preserve">he Court should allow </w:t>
      </w:r>
      <w:r w:rsidR="007C2ECA" w:rsidRPr="004C4C78">
        <w:rPr>
          <w:noProof/>
          <w:highlight w:val="yellow"/>
        </w:rPr>
        <w:t>CLIENT’s social worker/relative/friend</w:t>
      </w:r>
      <w:r w:rsidR="007C2ECA" w:rsidRPr="004C4C78">
        <w:rPr>
          <w:noProof/>
        </w:rPr>
        <w:t xml:space="preserve"> to testify on </w:t>
      </w:r>
      <w:r w:rsidR="00385A52" w:rsidRPr="004C4C78">
        <w:rPr>
          <w:noProof/>
          <w:highlight w:val="yellow"/>
        </w:rPr>
        <w:t>CLIENT’s</w:t>
      </w:r>
      <w:r w:rsidR="00385A52" w:rsidRPr="004C4C78">
        <w:rPr>
          <w:noProof/>
        </w:rPr>
        <w:t xml:space="preserve"> </w:t>
      </w:r>
      <w:r w:rsidR="007C2ECA" w:rsidRPr="004C4C78">
        <w:rPr>
          <w:noProof/>
        </w:rPr>
        <w:t>behalf</w:t>
      </w:r>
      <w:r w:rsidR="00385A52" w:rsidRPr="004C4C78">
        <w:rPr>
          <w:noProof/>
        </w:rPr>
        <w:t>.</w:t>
      </w:r>
      <w:r w:rsidR="007C2ECA" w:rsidRPr="004C4C78">
        <w:rPr>
          <w:noProof/>
        </w:rPr>
        <w:t xml:space="preserve"> The BIA already recognizes that such an accommodation may </w:t>
      </w:r>
      <w:r w:rsidR="00F81FCD" w:rsidRPr="004C4C78">
        <w:rPr>
          <w:noProof/>
        </w:rPr>
        <w:t xml:space="preserve">sometimes be necessary </w:t>
      </w:r>
      <w:r w:rsidR="007C2ECA" w:rsidRPr="004C4C78">
        <w:rPr>
          <w:noProof/>
        </w:rPr>
        <w:t xml:space="preserve"> in </w:t>
      </w:r>
      <w:r w:rsidR="007C2ECA" w:rsidRPr="004C4C78">
        <w:rPr>
          <w:i/>
          <w:noProof/>
        </w:rPr>
        <w:t>Matter of M-A-M</w:t>
      </w:r>
      <w:r w:rsidR="007C2ECA" w:rsidRPr="004C4C78">
        <w:rPr>
          <w:noProof/>
        </w:rPr>
        <w:t>. 25 I. &amp; N. Dec. 474, 482 (BIA 2011).</w:t>
      </w:r>
    </w:p>
    <w:p w14:paraId="7031684D" w14:textId="77777777" w:rsidR="004C4C78" w:rsidRPr="004C4C78" w:rsidRDefault="004C4C78" w:rsidP="005E1ECC">
      <w:pPr>
        <w:pStyle w:val="ListParagraph"/>
        <w:numPr>
          <w:ilvl w:val="0"/>
          <w:numId w:val="12"/>
        </w:numPr>
        <w:spacing w:line="480" w:lineRule="auto"/>
        <w:rPr>
          <w:rFonts w:ascii="Times New Roman" w:hAnsi="Times New Roman" w:cs="Times New Roman"/>
          <w:b/>
          <w:vanish/>
          <w:sz w:val="24"/>
          <w:szCs w:val="24"/>
          <w:highlight w:val="yellow"/>
        </w:rPr>
      </w:pPr>
    </w:p>
    <w:p w14:paraId="42B020F1" w14:textId="4890C06B" w:rsidR="0026078E" w:rsidRPr="0080717C" w:rsidRDefault="00B47860" w:rsidP="0080717C">
      <w:pPr>
        <w:pStyle w:val="ListParagraph"/>
        <w:numPr>
          <w:ilvl w:val="0"/>
          <w:numId w:val="15"/>
        </w:numPr>
        <w:spacing w:line="480" w:lineRule="auto"/>
        <w:rPr>
          <w:rFonts w:ascii="Times New Roman" w:hAnsi="Times New Roman" w:cs="Times New Roman"/>
          <w:b/>
          <w:sz w:val="24"/>
          <w:szCs w:val="24"/>
        </w:rPr>
      </w:pPr>
      <w:r>
        <w:rPr>
          <w:rFonts w:ascii="Times New Roman" w:hAnsi="Times New Roman" w:cs="Times New Roman"/>
          <w:b/>
          <w:i/>
          <w:sz w:val="24"/>
          <w:szCs w:val="24"/>
          <w:highlight w:val="yellow"/>
        </w:rPr>
        <w:t xml:space="preserve">[include “alternatively” only if your client is not testifying] </w:t>
      </w:r>
      <w:r w:rsidR="005E1ECC" w:rsidRPr="0080717C">
        <w:rPr>
          <w:rFonts w:ascii="Times New Roman" w:hAnsi="Times New Roman" w:cs="Times New Roman"/>
          <w:b/>
          <w:sz w:val="24"/>
          <w:szCs w:val="24"/>
          <w:highlight w:val="yellow"/>
        </w:rPr>
        <w:t>Alternatively,</w:t>
      </w:r>
      <w:r w:rsidR="005E1ECC" w:rsidRPr="0080717C">
        <w:rPr>
          <w:rFonts w:ascii="Times New Roman" w:hAnsi="Times New Roman" w:cs="Times New Roman"/>
          <w:b/>
          <w:sz w:val="24"/>
          <w:szCs w:val="24"/>
        </w:rPr>
        <w:t xml:space="preserve"> </w:t>
      </w:r>
      <w:r w:rsidR="00E10E30" w:rsidRPr="0080717C">
        <w:rPr>
          <w:rFonts w:ascii="Times New Roman" w:hAnsi="Times New Roman" w:cs="Times New Roman"/>
          <w:b/>
          <w:sz w:val="24"/>
          <w:szCs w:val="24"/>
        </w:rPr>
        <w:t xml:space="preserve">The Court Should Impose </w:t>
      </w:r>
      <w:r w:rsidR="000A6741" w:rsidRPr="0080717C">
        <w:rPr>
          <w:rFonts w:ascii="Times New Roman" w:hAnsi="Times New Roman" w:cs="Times New Roman"/>
          <w:b/>
          <w:sz w:val="24"/>
          <w:szCs w:val="24"/>
        </w:rPr>
        <w:t>t</w:t>
      </w:r>
      <w:r w:rsidR="0026078E" w:rsidRPr="0080717C">
        <w:rPr>
          <w:rFonts w:ascii="Times New Roman" w:hAnsi="Times New Roman" w:cs="Times New Roman"/>
          <w:b/>
          <w:sz w:val="24"/>
          <w:szCs w:val="24"/>
        </w:rPr>
        <w:t xml:space="preserve">he Following </w:t>
      </w:r>
      <w:r w:rsidR="0014749D" w:rsidRPr="0080717C">
        <w:rPr>
          <w:rFonts w:ascii="Times New Roman" w:hAnsi="Times New Roman" w:cs="Times New Roman"/>
          <w:b/>
          <w:sz w:val="24"/>
          <w:szCs w:val="24"/>
        </w:rPr>
        <w:t>Safeguards</w:t>
      </w:r>
      <w:r w:rsidR="00D30C61" w:rsidRPr="0080717C">
        <w:rPr>
          <w:rFonts w:ascii="Times New Roman" w:hAnsi="Times New Roman" w:cs="Times New Roman"/>
          <w:b/>
          <w:sz w:val="24"/>
          <w:szCs w:val="24"/>
        </w:rPr>
        <w:t xml:space="preserve"> to Ensure </w:t>
      </w:r>
      <w:r w:rsidR="0026078E" w:rsidRPr="0080717C">
        <w:rPr>
          <w:rFonts w:ascii="Times New Roman" w:hAnsi="Times New Roman" w:cs="Times New Roman"/>
          <w:b/>
          <w:sz w:val="24"/>
          <w:szCs w:val="24"/>
        </w:rPr>
        <w:t xml:space="preserve">That </w:t>
      </w:r>
      <w:r w:rsidR="0026078E" w:rsidRPr="0080717C">
        <w:rPr>
          <w:rFonts w:ascii="Times New Roman" w:hAnsi="Times New Roman" w:cs="Times New Roman"/>
          <w:b/>
          <w:sz w:val="24"/>
          <w:szCs w:val="24"/>
          <w:highlight w:val="yellow"/>
        </w:rPr>
        <w:t>CLIENT</w:t>
      </w:r>
      <w:r w:rsidR="0026078E" w:rsidRPr="0080717C">
        <w:rPr>
          <w:rFonts w:ascii="Times New Roman" w:hAnsi="Times New Roman" w:cs="Times New Roman"/>
          <w:b/>
          <w:sz w:val="24"/>
          <w:szCs w:val="24"/>
        </w:rPr>
        <w:t xml:space="preserve"> Has a Fair Proceeding </w:t>
      </w:r>
    </w:p>
    <w:p w14:paraId="79EC8973" w14:textId="4BF68139" w:rsidR="0014749D" w:rsidRPr="004C4C78" w:rsidRDefault="0024673D" w:rsidP="00CF703B">
      <w:pPr>
        <w:spacing w:line="480" w:lineRule="auto"/>
        <w:ind w:left="360"/>
      </w:pPr>
      <w:r w:rsidRPr="004C4C78">
        <w:t xml:space="preserve">As explained </w:t>
      </w:r>
      <w:r w:rsidRPr="004C4C78">
        <w:rPr>
          <w:i/>
        </w:rPr>
        <w:t>supra</w:t>
      </w:r>
      <w:r w:rsidR="006667C9" w:rsidRPr="004C4C78">
        <w:t xml:space="preserve">, people with </w:t>
      </w:r>
      <w:r w:rsidR="006667C9" w:rsidRPr="004C4C78">
        <w:rPr>
          <w:highlight w:val="yellow"/>
        </w:rPr>
        <w:t>mood disorders or PTSD</w:t>
      </w:r>
      <w:r w:rsidRPr="004C4C78">
        <w:t xml:space="preserve"> such as </w:t>
      </w:r>
      <w:r w:rsidRPr="004C4C78">
        <w:rPr>
          <w:highlight w:val="yellow"/>
        </w:rPr>
        <w:t>CLIENT</w:t>
      </w:r>
      <w:r w:rsidRPr="004C4C78">
        <w:t xml:space="preserve"> have difficulty </w:t>
      </w:r>
      <w:r w:rsidR="006667C9" w:rsidRPr="004C4C78">
        <w:t>recalling narratives</w:t>
      </w:r>
      <w:r w:rsidRPr="004C4C78">
        <w:t xml:space="preserve"> in a way th</w:t>
      </w:r>
      <w:r w:rsidR="00A50703" w:rsidRPr="004C4C78">
        <w:t xml:space="preserve">at can infringe on their right to a fundamentally fair proceeding. </w:t>
      </w:r>
      <w:r w:rsidR="007D0849" w:rsidRPr="004C4C78">
        <w:t>G</w:t>
      </w:r>
      <w:r w:rsidR="00A50703" w:rsidRPr="004C4C78">
        <w:t>ranting permission to ask leading questions on direct examination, closely monitoring the tone and form of questioning during cross-examination, and making changes to the courtroom environment can all play</w:t>
      </w:r>
      <w:r w:rsidR="0014749D" w:rsidRPr="004C4C78">
        <w:t xml:space="preserve"> an integral role in protecting </w:t>
      </w:r>
      <w:r w:rsidR="0014749D" w:rsidRPr="004C4C78">
        <w:rPr>
          <w:highlight w:val="yellow"/>
        </w:rPr>
        <w:t>CLIENT’s</w:t>
      </w:r>
      <w:r w:rsidR="0014749D" w:rsidRPr="004C4C78">
        <w:t xml:space="preserve"> right to </w:t>
      </w:r>
      <w:r w:rsidR="000C67C2" w:rsidRPr="004C4C78">
        <w:t>make [</w:t>
      </w:r>
      <w:r w:rsidR="000C67C2" w:rsidRPr="004C4C78">
        <w:rPr>
          <w:highlight w:val="yellow"/>
        </w:rPr>
        <w:t>HIS/HER]</w:t>
      </w:r>
      <w:r w:rsidR="000C67C2" w:rsidRPr="004C4C78">
        <w:t xml:space="preserve"> case </w:t>
      </w:r>
      <w:r w:rsidR="0014749D" w:rsidRPr="004C4C78">
        <w:t xml:space="preserve"> in immigration court</w:t>
      </w:r>
      <w:r w:rsidR="004246BE" w:rsidRPr="004C4C78">
        <w:t xml:space="preserve">. </w:t>
      </w:r>
    </w:p>
    <w:p w14:paraId="0262010F" w14:textId="5A99C6C9" w:rsidR="00555BDA" w:rsidRPr="004C4C78" w:rsidRDefault="002B007C" w:rsidP="0080717C">
      <w:pPr>
        <w:pStyle w:val="ListParagraph"/>
        <w:numPr>
          <w:ilvl w:val="0"/>
          <w:numId w:val="15"/>
        </w:numPr>
        <w:spacing w:line="480" w:lineRule="auto"/>
        <w:rPr>
          <w:rFonts w:ascii="Times New Roman" w:hAnsi="Times New Roman" w:cs="Times New Roman"/>
          <w:b/>
          <w:sz w:val="24"/>
          <w:szCs w:val="24"/>
        </w:rPr>
      </w:pPr>
      <w:r w:rsidRPr="004C4C78">
        <w:rPr>
          <w:rFonts w:ascii="Times New Roman" w:hAnsi="Times New Roman" w:cs="Times New Roman"/>
          <w:b/>
          <w:sz w:val="24"/>
          <w:szCs w:val="24"/>
        </w:rPr>
        <w:t xml:space="preserve">Appropriate Safeguards Should Include </w:t>
      </w:r>
      <w:r w:rsidR="00605752" w:rsidRPr="004C4C78">
        <w:rPr>
          <w:rFonts w:ascii="Times New Roman" w:hAnsi="Times New Roman" w:cs="Times New Roman"/>
          <w:b/>
          <w:sz w:val="24"/>
          <w:szCs w:val="24"/>
        </w:rPr>
        <w:t>Granting Permission to Ask Leading Questions During Direct Examination</w:t>
      </w:r>
    </w:p>
    <w:p w14:paraId="04CF4EBB" w14:textId="5967499E" w:rsidR="00E07FBB" w:rsidRPr="004C4C78" w:rsidRDefault="009D50A5">
      <w:pPr>
        <w:pStyle w:val="FootnoteText"/>
        <w:spacing w:line="480" w:lineRule="auto"/>
        <w:ind w:left="360"/>
        <w:rPr>
          <w:rFonts w:ascii="Times New Roman" w:hAnsi="Times New Roman" w:cs="Times New Roman"/>
          <w:sz w:val="24"/>
          <w:szCs w:val="24"/>
        </w:rPr>
      </w:pPr>
      <w:r w:rsidRPr="004C4C78">
        <w:rPr>
          <w:rFonts w:ascii="Times New Roman" w:hAnsi="Times New Roman" w:cs="Times New Roman"/>
          <w:sz w:val="24"/>
          <w:szCs w:val="24"/>
        </w:rPr>
        <w:t xml:space="preserve">To allow </w:t>
      </w:r>
      <w:r w:rsidR="00207C07" w:rsidRPr="004C4C78">
        <w:rPr>
          <w:rFonts w:ascii="Times New Roman" w:hAnsi="Times New Roman" w:cs="Times New Roman"/>
          <w:caps/>
          <w:sz w:val="24"/>
          <w:szCs w:val="24"/>
          <w:highlight w:val="yellow"/>
        </w:rPr>
        <w:t>CLIENT</w:t>
      </w:r>
      <w:r w:rsidR="00E07FBB" w:rsidRPr="004C4C78">
        <w:rPr>
          <w:rFonts w:ascii="Times New Roman" w:hAnsi="Times New Roman" w:cs="Times New Roman"/>
          <w:sz w:val="24"/>
          <w:szCs w:val="24"/>
        </w:rPr>
        <w:t xml:space="preserve"> the opportunity to provide </w:t>
      </w:r>
      <w:r w:rsidR="00E07FBB" w:rsidRPr="004C4C78">
        <w:rPr>
          <w:rFonts w:ascii="Times New Roman" w:hAnsi="Times New Roman" w:cs="Times New Roman"/>
          <w:noProof/>
          <w:sz w:val="24"/>
          <w:szCs w:val="24"/>
        </w:rPr>
        <w:t>testimony</w:t>
      </w:r>
      <w:r w:rsidRPr="004C4C78">
        <w:rPr>
          <w:rFonts w:ascii="Times New Roman" w:hAnsi="Times New Roman" w:cs="Times New Roman"/>
          <w:sz w:val="24"/>
          <w:szCs w:val="24"/>
        </w:rPr>
        <w:t xml:space="preserve"> despite </w:t>
      </w:r>
      <w:r w:rsidRPr="004C4C78">
        <w:rPr>
          <w:rFonts w:ascii="Times New Roman" w:hAnsi="Times New Roman" w:cs="Times New Roman"/>
          <w:sz w:val="24"/>
          <w:szCs w:val="24"/>
          <w:highlight w:val="yellow"/>
        </w:rPr>
        <w:t>[</w:t>
      </w:r>
      <w:r w:rsidR="0032305D">
        <w:rPr>
          <w:rFonts w:ascii="Times New Roman" w:hAnsi="Times New Roman" w:cs="Times New Roman"/>
          <w:sz w:val="24"/>
          <w:szCs w:val="24"/>
          <w:highlight w:val="yellow"/>
        </w:rPr>
        <w:t>HIS/HER</w:t>
      </w:r>
      <w:r w:rsidRPr="004C4C78">
        <w:rPr>
          <w:rFonts w:ascii="Times New Roman" w:hAnsi="Times New Roman" w:cs="Times New Roman"/>
          <w:sz w:val="24"/>
          <w:szCs w:val="24"/>
          <w:highlight w:val="yellow"/>
        </w:rPr>
        <w:t>]</w:t>
      </w:r>
    </w:p>
    <w:p w14:paraId="200C0AD8" w14:textId="7DB5BE7B" w:rsidR="00E81664" w:rsidRPr="004C4C78" w:rsidRDefault="00435488" w:rsidP="00CF703B">
      <w:pPr>
        <w:spacing w:line="480" w:lineRule="auto"/>
        <w:rPr>
          <w:color w:val="000000" w:themeColor="text1"/>
        </w:rPr>
      </w:pPr>
      <w:r w:rsidRPr="004C4C78">
        <w:rPr>
          <w:noProof/>
        </w:rPr>
        <w:t>d</w:t>
      </w:r>
      <w:r w:rsidR="00E07FBB" w:rsidRPr="004C4C78">
        <w:rPr>
          <w:noProof/>
        </w:rPr>
        <w:t>isability</w:t>
      </w:r>
      <w:r w:rsidRPr="004C4C78">
        <w:t xml:space="preserve">, </w:t>
      </w:r>
      <w:r w:rsidR="00E07FBB" w:rsidRPr="004C4C78">
        <w:t xml:space="preserve">the </w:t>
      </w:r>
      <w:r w:rsidRPr="004C4C78">
        <w:t>C</w:t>
      </w:r>
      <w:r w:rsidR="00E07FBB" w:rsidRPr="004C4C78">
        <w:t xml:space="preserve">ourt should permit </w:t>
      </w:r>
      <w:r w:rsidR="00207C07" w:rsidRPr="004C4C78">
        <w:rPr>
          <w:caps/>
          <w:highlight w:val="yellow"/>
        </w:rPr>
        <w:t>CLIENT</w:t>
      </w:r>
      <w:r w:rsidR="00E07FBB" w:rsidRPr="004C4C78">
        <w:rPr>
          <w:highlight w:val="yellow"/>
        </w:rPr>
        <w:t>’S</w:t>
      </w:r>
      <w:r w:rsidR="00E07FBB" w:rsidRPr="004C4C78">
        <w:t xml:space="preserve"> counsel to ask leading questions during di</w:t>
      </w:r>
      <w:r w:rsidR="00C71509" w:rsidRPr="004C4C78">
        <w:t>rect examination</w:t>
      </w:r>
      <w:r w:rsidR="00E07FBB" w:rsidRPr="004C4C78">
        <w:t xml:space="preserve">. </w:t>
      </w:r>
      <w:r w:rsidR="005E3019" w:rsidRPr="004C4C78">
        <w:t xml:space="preserve">Courts have </w:t>
      </w:r>
      <w:r w:rsidR="002C2047" w:rsidRPr="004C4C78">
        <w:t>long recognized</w:t>
      </w:r>
      <w:r w:rsidR="005E3019" w:rsidRPr="004C4C78">
        <w:t xml:space="preserve"> an </w:t>
      </w:r>
      <w:r w:rsidR="002C2047" w:rsidRPr="004C4C78">
        <w:t>exception to the bar on use</w:t>
      </w:r>
      <w:r w:rsidR="005E3019" w:rsidRPr="004C4C78">
        <w:t xml:space="preserve"> </w:t>
      </w:r>
      <w:r w:rsidR="002C2047" w:rsidRPr="004C4C78">
        <w:t xml:space="preserve">of </w:t>
      </w:r>
      <w:r w:rsidR="005E3019" w:rsidRPr="004C4C78">
        <w:t xml:space="preserve">leading questions during </w:t>
      </w:r>
      <w:r w:rsidR="002C2047" w:rsidRPr="004C4C78">
        <w:t xml:space="preserve">direct-examination </w:t>
      </w:r>
      <w:r w:rsidR="005E3019" w:rsidRPr="004C4C78">
        <w:t xml:space="preserve">when </w:t>
      </w:r>
      <w:r w:rsidR="002C2047" w:rsidRPr="004C4C78">
        <w:t xml:space="preserve">such questions are </w:t>
      </w:r>
      <w:r w:rsidR="005E3019" w:rsidRPr="004C4C78">
        <w:t>“necessary to dev</w:t>
      </w:r>
      <w:r w:rsidR="00131AAE" w:rsidRPr="004C4C78">
        <w:t>elop the witness’s testimony,</w:t>
      </w:r>
      <w:r w:rsidR="005E3019" w:rsidRPr="004C4C78">
        <w:t>”</w:t>
      </w:r>
      <w:r w:rsidR="005E3019" w:rsidRPr="004C4C78">
        <w:rPr>
          <w:b/>
        </w:rPr>
        <w:t xml:space="preserve"> </w:t>
      </w:r>
      <w:r w:rsidR="00131AAE" w:rsidRPr="004C4C78">
        <w:t xml:space="preserve">Fed. R. </w:t>
      </w:r>
      <w:proofErr w:type="spellStart"/>
      <w:r w:rsidR="00131AAE" w:rsidRPr="004C4C78">
        <w:t>Evid</w:t>
      </w:r>
      <w:proofErr w:type="spellEnd"/>
      <w:r w:rsidR="00131AAE" w:rsidRPr="004C4C78">
        <w:t>. 611(c)</w:t>
      </w:r>
      <w:r w:rsidR="00131AAE" w:rsidRPr="004C4C78">
        <w:rPr>
          <w:rFonts w:eastAsia="Times New Roman"/>
        </w:rPr>
        <w:t>.</w:t>
      </w:r>
      <w:r w:rsidR="00AB2CC2" w:rsidRPr="004C4C78">
        <w:rPr>
          <w:rFonts w:eastAsia="Times New Roman"/>
        </w:rPr>
        <w:t xml:space="preserve"> People with </w:t>
      </w:r>
      <w:r w:rsidR="006F14FF" w:rsidRPr="004C4C78">
        <w:rPr>
          <w:rFonts w:eastAsia="Times New Roman"/>
        </w:rPr>
        <w:t>mood disorders or PTSD</w:t>
      </w:r>
      <w:r w:rsidR="00AB2CC2" w:rsidRPr="004C4C78">
        <w:rPr>
          <w:rFonts w:eastAsia="Times New Roman"/>
        </w:rPr>
        <w:t xml:space="preserve"> frequently struggle to remember things like dates, places and times.</w:t>
      </w:r>
      <w:r w:rsidR="006F14FF" w:rsidRPr="004C4C78">
        <w:rPr>
          <w:rFonts w:eastAsia="Times New Roman"/>
          <w:i/>
        </w:rPr>
        <w:t xml:space="preserve"> </w:t>
      </w:r>
      <w:r w:rsidR="006F14FF" w:rsidRPr="004C4C78">
        <w:rPr>
          <w:i/>
        </w:rPr>
        <w:t xml:space="preserve">See </w:t>
      </w:r>
      <w:r w:rsidR="006F14FF" w:rsidRPr="004C4C78">
        <w:t xml:space="preserve">Jane </w:t>
      </w:r>
      <w:proofErr w:type="spellStart"/>
      <w:r w:rsidR="006F14FF" w:rsidRPr="004C4C78">
        <w:t>Herlihy</w:t>
      </w:r>
      <w:proofErr w:type="spellEnd"/>
      <w:r w:rsidR="006F14FF" w:rsidRPr="004C4C78">
        <w:t xml:space="preserve"> et al., </w:t>
      </w:r>
      <w:r w:rsidR="006F14FF" w:rsidRPr="004C4C78">
        <w:rPr>
          <w:i/>
        </w:rPr>
        <w:t>Discrepancies in Autobiographical Memories: Implications for the Assessment of Asylum Seekers</w:t>
      </w:r>
      <w:r w:rsidR="006F14FF" w:rsidRPr="004C4C78">
        <w:t xml:space="preserve">, 324 BMJ </w:t>
      </w:r>
      <w:r w:rsidR="0017493F" w:rsidRPr="004C4C78">
        <w:t xml:space="preserve">324 </w:t>
      </w:r>
      <w:r w:rsidR="006F14FF" w:rsidRPr="004C4C78">
        <w:t>(2002).</w:t>
      </w:r>
      <w:r w:rsidR="00C879C1" w:rsidRPr="004C4C78">
        <w:t xml:space="preserve"> Their difficulties with dates and times only increase in times of anxiety or distress. </w:t>
      </w:r>
      <w:r w:rsidR="00C71AA1" w:rsidRPr="004C4C78">
        <w:rPr>
          <w:i/>
        </w:rPr>
        <w:t>See id</w:t>
      </w:r>
      <w:r w:rsidR="00C71AA1" w:rsidRPr="004C4C78">
        <w:t>.</w:t>
      </w:r>
      <w:r w:rsidR="00C879C1" w:rsidRPr="004C4C78">
        <w:rPr>
          <w:color w:val="000000" w:themeColor="text1"/>
        </w:rPr>
        <w:t xml:space="preserve"> </w:t>
      </w:r>
    </w:p>
    <w:p w14:paraId="0908BFB4" w14:textId="16CE0266" w:rsidR="00C879C1" w:rsidRPr="004C4C78" w:rsidRDefault="00C879C1" w:rsidP="00CF703B">
      <w:pPr>
        <w:spacing w:line="480" w:lineRule="auto"/>
        <w:ind w:firstLine="720"/>
        <w:rPr>
          <w:color w:val="000000" w:themeColor="text1"/>
        </w:rPr>
      </w:pPr>
      <w:r w:rsidRPr="004C4C78">
        <w:rPr>
          <w:color w:val="000000" w:themeColor="text1"/>
        </w:rPr>
        <w:lastRenderedPageBreak/>
        <w:t>Direct examination allows respondent’s counsel to present the legal elements of a claim in a</w:t>
      </w:r>
      <w:r w:rsidR="00E81664" w:rsidRPr="004C4C78">
        <w:rPr>
          <w:color w:val="000000" w:themeColor="text1"/>
        </w:rPr>
        <w:t xml:space="preserve">n orderly fashion, and to build a </w:t>
      </w:r>
      <w:r w:rsidRPr="004C4C78">
        <w:rPr>
          <w:color w:val="000000" w:themeColor="text1"/>
        </w:rPr>
        <w:t xml:space="preserve">case narrative through testimony for the court. </w:t>
      </w:r>
      <w:r w:rsidR="002232FE">
        <w:rPr>
          <w:color w:val="000000" w:themeColor="text1"/>
        </w:rPr>
        <w:t>Alt</w:t>
      </w:r>
      <w:r w:rsidRPr="004C4C78">
        <w:rPr>
          <w:color w:val="000000" w:themeColor="text1"/>
        </w:rPr>
        <w:t xml:space="preserve">hough </w:t>
      </w:r>
      <w:r w:rsidR="002232FE">
        <w:rPr>
          <w:color w:val="000000" w:themeColor="text1"/>
        </w:rPr>
        <w:t xml:space="preserve">a familiar person conducts direct examination, </w:t>
      </w:r>
      <w:r w:rsidRPr="004C4C78">
        <w:rPr>
          <w:color w:val="000000" w:themeColor="text1"/>
        </w:rPr>
        <w:t>the f</w:t>
      </w:r>
      <w:r w:rsidR="00E27ADA">
        <w:rPr>
          <w:color w:val="000000" w:themeColor="text1"/>
        </w:rPr>
        <w:t xml:space="preserve">ormalized style of questioning and the unfamiliar, </w:t>
      </w:r>
      <w:r w:rsidRPr="004C4C78">
        <w:rPr>
          <w:color w:val="000000" w:themeColor="text1"/>
        </w:rPr>
        <w:t>high-press</w:t>
      </w:r>
      <w:r w:rsidR="00E27ADA">
        <w:rPr>
          <w:color w:val="000000" w:themeColor="text1"/>
        </w:rPr>
        <w:t xml:space="preserve">ure setting </w:t>
      </w:r>
      <w:r w:rsidRPr="004C4C78">
        <w:rPr>
          <w:color w:val="000000" w:themeColor="text1"/>
        </w:rPr>
        <w:t xml:space="preserve">may be jarring even for witnesses without the mental health limitations of </w:t>
      </w:r>
      <w:r w:rsidRPr="004C4C78">
        <w:rPr>
          <w:color w:val="000000" w:themeColor="text1"/>
          <w:highlight w:val="yellow"/>
        </w:rPr>
        <w:t>CLIENT</w:t>
      </w:r>
      <w:r w:rsidRPr="004C4C78">
        <w:rPr>
          <w:color w:val="000000" w:themeColor="text1"/>
        </w:rPr>
        <w:t>. Most attorneys address this by spending extensive time preparing their client for direct-examination. However, for an individual with</w:t>
      </w:r>
      <w:r w:rsidR="00E715D5" w:rsidRPr="004C4C78">
        <w:rPr>
          <w:color w:val="000000" w:themeColor="text1"/>
        </w:rPr>
        <w:t xml:space="preserve"> </w:t>
      </w:r>
      <w:r w:rsidR="006C618E" w:rsidRPr="004C4C78">
        <w:rPr>
          <w:color w:val="000000" w:themeColor="text1"/>
          <w:highlight w:val="yellow"/>
        </w:rPr>
        <w:t>[mood disorder] or PTSD</w:t>
      </w:r>
      <w:r w:rsidRPr="004C4C78">
        <w:rPr>
          <w:color w:val="000000" w:themeColor="text1"/>
        </w:rPr>
        <w:t>, even substantial preparation may not fully prepare the</w:t>
      </w:r>
      <w:r w:rsidR="00626A62" w:rsidRPr="004C4C78">
        <w:rPr>
          <w:color w:val="000000" w:themeColor="text1"/>
        </w:rPr>
        <w:t xml:space="preserve"> person</w:t>
      </w:r>
      <w:r w:rsidRPr="004C4C78">
        <w:rPr>
          <w:color w:val="000000" w:themeColor="text1"/>
        </w:rPr>
        <w:t xml:space="preserve"> for questioning. Allowing respondent’s counsel to ask foundational/leading </w:t>
      </w:r>
      <w:r w:rsidR="002050DE" w:rsidRPr="004C4C78">
        <w:rPr>
          <w:color w:val="000000" w:themeColor="text1"/>
        </w:rPr>
        <w:t xml:space="preserve">questions </w:t>
      </w:r>
      <w:r w:rsidR="005E41D1" w:rsidRPr="004C4C78">
        <w:rPr>
          <w:color w:val="000000" w:themeColor="text1"/>
        </w:rPr>
        <w:t>regarding</w:t>
      </w:r>
      <w:r w:rsidR="002050DE" w:rsidRPr="004C4C78">
        <w:rPr>
          <w:color w:val="000000" w:themeColor="text1"/>
        </w:rPr>
        <w:t xml:space="preserve"> </w:t>
      </w:r>
      <w:r w:rsidR="00626A62" w:rsidRPr="004C4C78">
        <w:rPr>
          <w:color w:val="000000" w:themeColor="text1"/>
        </w:rPr>
        <w:t xml:space="preserve">certain uncontested </w:t>
      </w:r>
      <w:r w:rsidR="002050DE" w:rsidRPr="004C4C78">
        <w:rPr>
          <w:color w:val="000000" w:themeColor="text1"/>
        </w:rPr>
        <w:t>fact</w:t>
      </w:r>
      <w:r w:rsidR="00626A62" w:rsidRPr="004C4C78">
        <w:rPr>
          <w:color w:val="000000" w:themeColor="text1"/>
        </w:rPr>
        <w:t>s</w:t>
      </w:r>
      <w:r w:rsidR="002050DE" w:rsidRPr="004C4C78">
        <w:rPr>
          <w:color w:val="000000" w:themeColor="text1"/>
        </w:rPr>
        <w:t xml:space="preserve"> (</w:t>
      </w:r>
      <w:r w:rsidR="0050299E" w:rsidRPr="004C4C78">
        <w:rPr>
          <w:color w:val="000000" w:themeColor="text1"/>
        </w:rPr>
        <w:t xml:space="preserve">e.g., </w:t>
      </w:r>
      <w:r w:rsidRPr="004C4C78">
        <w:rPr>
          <w:color w:val="000000" w:themeColor="text1"/>
        </w:rPr>
        <w:t>“</w:t>
      </w:r>
      <w:r w:rsidR="00935323" w:rsidRPr="004C4C78">
        <w:rPr>
          <w:color w:val="000000" w:themeColor="text1"/>
        </w:rPr>
        <w:t>Did you</w:t>
      </w:r>
      <w:r w:rsidRPr="004C4C78">
        <w:rPr>
          <w:color w:val="000000" w:themeColor="text1"/>
        </w:rPr>
        <w:t xml:space="preserve"> arrive in the United States on April 3?” or “</w:t>
      </w:r>
      <w:r w:rsidR="00935323" w:rsidRPr="004C4C78">
        <w:rPr>
          <w:color w:val="000000" w:themeColor="text1"/>
        </w:rPr>
        <w:t xml:space="preserve">Is it true that you </w:t>
      </w:r>
      <w:r w:rsidRPr="004C4C78">
        <w:rPr>
          <w:color w:val="000000" w:themeColor="text1"/>
        </w:rPr>
        <w:t xml:space="preserve">worked at the post office for fifteen years?”) could help alleviate this problem. </w:t>
      </w:r>
    </w:p>
    <w:p w14:paraId="2FAF0C4F" w14:textId="347D02F2" w:rsidR="00C659F8" w:rsidRPr="004C4C78" w:rsidRDefault="008C5B1C" w:rsidP="00CF703B">
      <w:pPr>
        <w:spacing w:line="480" w:lineRule="auto"/>
        <w:ind w:firstLine="720"/>
        <w:rPr>
          <w:rFonts w:eastAsia="Times New Roman"/>
        </w:rPr>
      </w:pPr>
      <w:r w:rsidRPr="004C4C78">
        <w:t xml:space="preserve">Permitting leading questions on direct </w:t>
      </w:r>
      <w:r w:rsidR="00C77BD5" w:rsidRPr="004C4C78">
        <w:t xml:space="preserve">also </w:t>
      </w:r>
      <w:r w:rsidRPr="004C4C78">
        <w:t xml:space="preserve">expedites the proceedings and leads </w:t>
      </w:r>
      <w:proofErr w:type="gramStart"/>
      <w:r w:rsidRPr="004C4C78">
        <w:t>to more efficient development of the record</w:t>
      </w:r>
      <w:proofErr w:type="gramEnd"/>
      <w:r w:rsidRPr="004C4C78">
        <w:t>. Courts frequently employ th</w:t>
      </w:r>
      <w:r w:rsidR="006A6840" w:rsidRPr="004C4C78">
        <w:t>is</w:t>
      </w:r>
      <w:r w:rsidRPr="004C4C78">
        <w:t xml:space="preserve"> exception for adults with communication difficulties, children, </w:t>
      </w:r>
      <w:r w:rsidRPr="004C4C78">
        <w:rPr>
          <w:rFonts w:eastAsia="Times New Roman"/>
        </w:rPr>
        <w:t xml:space="preserve">witnesses with disabilities, </w:t>
      </w:r>
      <w:r w:rsidR="00082B1F" w:rsidRPr="004C4C78">
        <w:rPr>
          <w:rFonts w:eastAsia="Times New Roman"/>
        </w:rPr>
        <w:t>survivors of traumatic events</w:t>
      </w:r>
      <w:r w:rsidRPr="004C4C78">
        <w:rPr>
          <w:rFonts w:eastAsia="Times New Roman"/>
        </w:rPr>
        <w:t xml:space="preserve">, and witnesses who are “nervous” or “confused.” </w:t>
      </w:r>
      <w:proofErr w:type="gramStart"/>
      <w:r w:rsidRPr="004C4C78">
        <w:rPr>
          <w:i/>
        </w:rPr>
        <w:t>See U</w:t>
      </w:r>
      <w:r w:rsidR="00AE0A93" w:rsidRPr="004C4C78">
        <w:rPr>
          <w:i/>
        </w:rPr>
        <w:t>nited States</w:t>
      </w:r>
      <w:r w:rsidRPr="004C4C78">
        <w:rPr>
          <w:i/>
        </w:rPr>
        <w:t xml:space="preserve"> v. </w:t>
      </w:r>
      <w:proofErr w:type="spellStart"/>
      <w:r w:rsidRPr="004C4C78">
        <w:rPr>
          <w:i/>
        </w:rPr>
        <w:t>Salameh</w:t>
      </w:r>
      <w:proofErr w:type="spellEnd"/>
      <w:r w:rsidRPr="004C4C78">
        <w:t xml:space="preserve">, 152 F.3d 88, 128 (2d Cir. 1998) (permitting use of leading questions for nervous witness during direct examination); </w:t>
      </w:r>
      <w:r w:rsidR="00AE0A93" w:rsidRPr="004C4C78">
        <w:rPr>
          <w:rFonts w:eastAsia="Times New Roman"/>
          <w:i/>
        </w:rPr>
        <w:t>United States</w:t>
      </w:r>
      <w:r w:rsidRPr="004C4C78">
        <w:rPr>
          <w:rFonts w:eastAsia="Times New Roman"/>
          <w:i/>
        </w:rPr>
        <w:t xml:space="preserve"> v. Vazquez-</w:t>
      </w:r>
      <w:proofErr w:type="spellStart"/>
      <w:r w:rsidRPr="004C4C78">
        <w:rPr>
          <w:rFonts w:eastAsia="Times New Roman"/>
          <w:i/>
        </w:rPr>
        <w:t>Larrauri</w:t>
      </w:r>
      <w:proofErr w:type="spellEnd"/>
      <w:r w:rsidRPr="004C4C78">
        <w:rPr>
          <w:rFonts w:eastAsia="Times New Roman"/>
        </w:rPr>
        <w:t xml:space="preserve">, 778 F.3d 276, 290 (1st Cir. 2015) (allowing use of leading questions to develop foundational testimony); </w:t>
      </w:r>
      <w:r w:rsidRPr="004C4C78">
        <w:rPr>
          <w:rFonts w:eastAsia="Times New Roman"/>
          <w:i/>
        </w:rPr>
        <w:t>U</w:t>
      </w:r>
      <w:r w:rsidR="009F5664" w:rsidRPr="004C4C78">
        <w:rPr>
          <w:rFonts w:eastAsia="Times New Roman"/>
          <w:i/>
        </w:rPr>
        <w:t>nited States</w:t>
      </w:r>
      <w:r w:rsidRPr="004C4C78">
        <w:rPr>
          <w:rFonts w:eastAsia="Times New Roman"/>
          <w:i/>
        </w:rPr>
        <w:t xml:space="preserve"> v. Cisneros-Gutierrez</w:t>
      </w:r>
      <w:r w:rsidRPr="004C4C78">
        <w:rPr>
          <w:rFonts w:eastAsia="Times New Roman"/>
        </w:rPr>
        <w:t xml:space="preserve">, 517 F.3d 751 (5th Cir. 2008) (permitting leading questions on direct for witness with extensive “memory problems”); </w:t>
      </w:r>
      <w:r w:rsidRPr="004C4C78">
        <w:rPr>
          <w:rFonts w:eastAsia="Times New Roman"/>
          <w:i/>
        </w:rPr>
        <w:t>Jordan v. Hurley</w:t>
      </w:r>
      <w:r w:rsidRPr="004C4C78">
        <w:rPr>
          <w:rFonts w:eastAsia="Times New Roman"/>
        </w:rPr>
        <w:t xml:space="preserve">, 397 F.3d 360, 363 (6th Cir. 2005) (leading questions on direct examination permissible for person with cognitive limitations); </w:t>
      </w:r>
      <w:r w:rsidRPr="004C4C78">
        <w:rPr>
          <w:rFonts w:eastAsia="Times New Roman"/>
          <w:i/>
        </w:rPr>
        <w:t xml:space="preserve">People v. </w:t>
      </w:r>
      <w:proofErr w:type="spellStart"/>
      <w:r w:rsidRPr="004C4C78">
        <w:rPr>
          <w:rFonts w:eastAsia="Times New Roman"/>
          <w:i/>
        </w:rPr>
        <w:t>Cuttler</w:t>
      </w:r>
      <w:proofErr w:type="spellEnd"/>
      <w:r w:rsidRPr="004C4C78">
        <w:rPr>
          <w:rFonts w:eastAsia="Times New Roman"/>
        </w:rPr>
        <w:t xml:space="preserve">, 270 A.D.2d 654, 655 (N.Y. App. 3d 2000) (trial court judge did not abuse discretion when he permitted use of leading questions on direct examination for </w:t>
      </w:r>
      <w:r w:rsidR="00092A2A" w:rsidRPr="004C4C78">
        <w:rPr>
          <w:rFonts w:eastAsia="Times New Roman"/>
        </w:rPr>
        <w:t>child sexual assault victim</w:t>
      </w:r>
      <w:r w:rsidRPr="004C4C78">
        <w:rPr>
          <w:rFonts w:eastAsia="Times New Roman"/>
        </w:rPr>
        <w:t>).</w:t>
      </w:r>
      <w:proofErr w:type="gramEnd"/>
      <w:r w:rsidRPr="004C4C78">
        <w:rPr>
          <w:rFonts w:eastAsia="Times New Roman"/>
        </w:rPr>
        <w:t xml:space="preserve"> </w:t>
      </w:r>
    </w:p>
    <w:p w14:paraId="6977FF76" w14:textId="5643173C" w:rsidR="00C879C1" w:rsidRPr="004C4C78" w:rsidRDefault="008C5B1C" w:rsidP="00CF703B">
      <w:pPr>
        <w:spacing w:line="480" w:lineRule="auto"/>
        <w:ind w:firstLine="720"/>
        <w:rPr>
          <w:color w:val="000000" w:themeColor="text1"/>
        </w:rPr>
      </w:pPr>
      <w:r w:rsidRPr="004C4C78">
        <w:rPr>
          <w:rFonts w:eastAsia="Times New Roman"/>
        </w:rPr>
        <w:lastRenderedPageBreak/>
        <w:t xml:space="preserve">Use of leading questions in </w:t>
      </w:r>
      <w:r w:rsidRPr="004C4C78">
        <w:rPr>
          <w:rFonts w:eastAsia="Times New Roman"/>
          <w:highlight w:val="yellow"/>
        </w:rPr>
        <w:t>CLIENT’s</w:t>
      </w:r>
      <w:r w:rsidRPr="004C4C78">
        <w:rPr>
          <w:rFonts w:eastAsia="Times New Roman"/>
        </w:rPr>
        <w:t xml:space="preserve"> case merely reaffirms this longstanding principle and helps to ensure the fundamental fairness of </w:t>
      </w:r>
      <w:r w:rsidRPr="004C4C78">
        <w:rPr>
          <w:rFonts w:eastAsia="Times New Roman"/>
          <w:highlight w:val="yellow"/>
        </w:rPr>
        <w:t>CLIENT’s</w:t>
      </w:r>
      <w:r w:rsidRPr="004C4C78">
        <w:rPr>
          <w:rFonts w:eastAsia="Times New Roman"/>
        </w:rPr>
        <w:t xml:space="preserve"> immigration proceedings. </w:t>
      </w:r>
      <w:r w:rsidR="00C879C1" w:rsidRPr="004C4C78">
        <w:rPr>
          <w:color w:val="000000" w:themeColor="text1"/>
        </w:rPr>
        <w:t xml:space="preserve">An additional and related safeguard would require the Court to defer to the established documentary record when there is an inconsistency between that record and the </w:t>
      </w:r>
      <w:proofErr w:type="gramStart"/>
      <w:r w:rsidR="00C879C1" w:rsidRPr="004C4C78">
        <w:rPr>
          <w:color w:val="000000" w:themeColor="text1"/>
        </w:rPr>
        <w:t>respondent’s</w:t>
      </w:r>
      <w:proofErr w:type="gramEnd"/>
      <w:r w:rsidR="00C879C1" w:rsidRPr="004C4C78">
        <w:rPr>
          <w:color w:val="000000" w:themeColor="text1"/>
        </w:rPr>
        <w:t xml:space="preserve"> hearing testimony. </w:t>
      </w:r>
      <w:r w:rsidR="00C77BD5" w:rsidRPr="004C4C78">
        <w:rPr>
          <w:color w:val="000000" w:themeColor="text1"/>
        </w:rPr>
        <w:t xml:space="preserve">If the respondent has </w:t>
      </w:r>
      <w:r w:rsidR="00C34C28" w:rsidRPr="004C4C78">
        <w:rPr>
          <w:color w:val="000000" w:themeColor="text1"/>
        </w:rPr>
        <w:t xml:space="preserve">previously submitted </w:t>
      </w:r>
      <w:r w:rsidR="00C77BD5" w:rsidRPr="004C4C78">
        <w:rPr>
          <w:color w:val="000000" w:themeColor="text1"/>
        </w:rPr>
        <w:t xml:space="preserve">documentary evidence </w:t>
      </w:r>
      <w:r w:rsidR="00C879C1" w:rsidRPr="004C4C78">
        <w:rPr>
          <w:color w:val="000000" w:themeColor="text1"/>
        </w:rPr>
        <w:t>that clearly establish</w:t>
      </w:r>
      <w:r w:rsidR="00C34C28" w:rsidRPr="004C4C78">
        <w:rPr>
          <w:color w:val="000000" w:themeColor="text1"/>
        </w:rPr>
        <w:t>es</w:t>
      </w:r>
      <w:r w:rsidR="00C879C1" w:rsidRPr="004C4C78">
        <w:rPr>
          <w:color w:val="000000" w:themeColor="text1"/>
        </w:rPr>
        <w:t xml:space="preserve"> a particular fact, but on the day of the hearing respondent omits or forget that foundational fact (</w:t>
      </w:r>
      <w:r w:rsidR="00C34C28" w:rsidRPr="004C4C78">
        <w:rPr>
          <w:color w:val="000000" w:themeColor="text1"/>
        </w:rPr>
        <w:t>fo</w:t>
      </w:r>
      <w:r w:rsidR="00E27ADA">
        <w:rPr>
          <w:color w:val="000000" w:themeColor="text1"/>
        </w:rPr>
        <w:t xml:space="preserve">r example, his or her </w:t>
      </w:r>
      <w:r w:rsidR="00C34C28" w:rsidRPr="004C4C78">
        <w:rPr>
          <w:color w:val="000000" w:themeColor="text1"/>
        </w:rPr>
        <w:t>address or last place of employment</w:t>
      </w:r>
      <w:r w:rsidR="00C879C1" w:rsidRPr="004C4C78">
        <w:rPr>
          <w:color w:val="000000" w:themeColor="text1"/>
        </w:rPr>
        <w:t xml:space="preserve">), the Court should not penalize the </w:t>
      </w:r>
      <w:r w:rsidR="00E27ADA">
        <w:rPr>
          <w:color w:val="000000" w:themeColor="text1"/>
        </w:rPr>
        <w:t>respondent for the discrepancy, but</w:t>
      </w:r>
      <w:r w:rsidR="00C34C28" w:rsidRPr="004C4C78">
        <w:rPr>
          <w:color w:val="000000" w:themeColor="text1"/>
        </w:rPr>
        <w:t xml:space="preserve"> defer to the documentary evidence instead. </w:t>
      </w:r>
    </w:p>
    <w:p w14:paraId="3B90425F" w14:textId="71C184D8" w:rsidR="004E6106" w:rsidRPr="0080717C" w:rsidRDefault="006F5FEC" w:rsidP="0080717C">
      <w:pPr>
        <w:pStyle w:val="ListParagraph"/>
        <w:numPr>
          <w:ilvl w:val="0"/>
          <w:numId w:val="15"/>
        </w:numPr>
        <w:spacing w:line="480" w:lineRule="auto"/>
        <w:rPr>
          <w:b/>
        </w:rPr>
      </w:pPr>
      <w:r w:rsidRPr="004C4C78">
        <w:t xml:space="preserve"> </w:t>
      </w:r>
      <w:r w:rsidR="00A50703" w:rsidRPr="0080717C">
        <w:rPr>
          <w:rFonts w:ascii="Times New Roman" w:hAnsi="Times New Roman" w:cs="Times New Roman"/>
          <w:b/>
          <w:sz w:val="24"/>
          <w:szCs w:val="24"/>
        </w:rPr>
        <w:t>Appropriate Safeguards Should Include</w:t>
      </w:r>
      <w:r w:rsidR="004E6106" w:rsidRPr="0080717C">
        <w:rPr>
          <w:rFonts w:ascii="Times New Roman" w:hAnsi="Times New Roman" w:cs="Times New Roman"/>
          <w:b/>
          <w:sz w:val="24"/>
          <w:szCs w:val="24"/>
        </w:rPr>
        <w:t xml:space="preserve"> Permitting Short Breaks Between Questioning and Closely Monitoring the Tone and Form During Cross-Examination</w:t>
      </w:r>
    </w:p>
    <w:p w14:paraId="284F1945" w14:textId="4F504DD2" w:rsidR="005C118E" w:rsidRPr="004C4C78" w:rsidRDefault="005C118E" w:rsidP="00503DFD">
      <w:pPr>
        <w:spacing w:line="480" w:lineRule="auto"/>
      </w:pPr>
      <w:r w:rsidRPr="004C4C78">
        <w:t xml:space="preserve"> </w:t>
      </w:r>
      <w:r w:rsidRPr="004C4C78">
        <w:tab/>
      </w:r>
      <w:r w:rsidR="00765FC6" w:rsidRPr="004C4C78">
        <w:t xml:space="preserve">The default structure of cross-examination is currently not conducive to yielding cogent and accurate testimony from people </w:t>
      </w:r>
      <w:r w:rsidR="00FD414E" w:rsidRPr="004C4C78">
        <w:t xml:space="preserve">who have </w:t>
      </w:r>
      <w:r w:rsidR="00FD414E" w:rsidRPr="004C4C78">
        <w:rPr>
          <w:highlight w:val="yellow"/>
        </w:rPr>
        <w:t>PTSD or [mood disorder]</w:t>
      </w:r>
      <w:r w:rsidR="00765FC6" w:rsidRPr="004C4C78">
        <w:t xml:space="preserve">. </w:t>
      </w:r>
      <w:r w:rsidR="004246BE" w:rsidRPr="004C4C78">
        <w:t xml:space="preserve"> T</w:t>
      </w:r>
      <w:r w:rsidR="00632056" w:rsidRPr="004C4C78">
        <w:t xml:space="preserve">he </w:t>
      </w:r>
      <w:r w:rsidR="00660CF8" w:rsidRPr="004C4C78">
        <w:t xml:space="preserve">brusque manner </w:t>
      </w:r>
      <w:r w:rsidR="0076051F" w:rsidRPr="004C4C78">
        <w:t xml:space="preserve">of many cross-examiners and the </w:t>
      </w:r>
      <w:r w:rsidR="004246BE" w:rsidRPr="004C4C78">
        <w:t xml:space="preserve">time pressured environment may increase anxiety in people with </w:t>
      </w:r>
      <w:r w:rsidR="008C54E9" w:rsidRPr="004C4C78">
        <w:rPr>
          <w:highlight w:val="yellow"/>
        </w:rPr>
        <w:t>PTSD or [mood disorder]</w:t>
      </w:r>
      <w:r w:rsidR="008C54E9" w:rsidRPr="004C4C78">
        <w:t xml:space="preserve"> </w:t>
      </w:r>
      <w:r w:rsidR="00C11CEC">
        <w:t>that</w:t>
      </w:r>
      <w:r w:rsidR="004246BE" w:rsidRPr="004C4C78">
        <w:t xml:space="preserve"> is more likely to elicit inconsistent or inaccurate answers. </w:t>
      </w:r>
      <w:r w:rsidR="001100FD" w:rsidRPr="004C4C78">
        <w:t xml:space="preserve">Such results </w:t>
      </w:r>
      <w:r w:rsidR="00632056" w:rsidRPr="004C4C78">
        <w:t xml:space="preserve">detract from, rather than enhance, the ability of the Court to discern the </w:t>
      </w:r>
      <w:r w:rsidR="001100FD" w:rsidRPr="004C4C78">
        <w:t xml:space="preserve">validity </w:t>
      </w:r>
      <w:r w:rsidR="00632056" w:rsidRPr="004C4C78">
        <w:t xml:space="preserve">of the testimony at issue. </w:t>
      </w:r>
    </w:p>
    <w:p w14:paraId="7D7CB14A" w14:textId="77777777" w:rsidR="00C11CEC" w:rsidRDefault="00755747" w:rsidP="00C11CEC">
      <w:pPr>
        <w:spacing w:line="480" w:lineRule="auto"/>
        <w:ind w:firstLine="360"/>
      </w:pPr>
      <w:r w:rsidRPr="004C4C78">
        <w:t xml:space="preserve"> </w:t>
      </w:r>
      <w:r w:rsidRPr="004C4C78">
        <w:tab/>
      </w:r>
      <w:r w:rsidR="00680174" w:rsidRPr="004C4C78">
        <w:t>Generally, c</w:t>
      </w:r>
      <w:r w:rsidRPr="004C4C78">
        <w:t>ross-examination proves</w:t>
      </w:r>
      <w:r w:rsidR="00817FB8" w:rsidRPr="004C4C78">
        <w:t xml:space="preserve"> especially</w:t>
      </w:r>
      <w:r w:rsidR="005C118E" w:rsidRPr="004C4C78">
        <w:t xml:space="preserve"> difficult for individu</w:t>
      </w:r>
      <w:r w:rsidRPr="004C4C78">
        <w:t xml:space="preserve">als with </w:t>
      </w:r>
      <w:r w:rsidR="002126A9" w:rsidRPr="004C4C78">
        <w:t>P</w:t>
      </w:r>
      <w:r w:rsidR="002126A9" w:rsidRPr="004C4C78">
        <w:rPr>
          <w:highlight w:val="yellow"/>
        </w:rPr>
        <w:t>TSD or [mood disorder]</w:t>
      </w:r>
      <w:r w:rsidRPr="004C4C78">
        <w:t xml:space="preserve">.  </w:t>
      </w:r>
      <w:r w:rsidR="003118D6" w:rsidRPr="004C4C78">
        <w:rPr>
          <w:i/>
        </w:rPr>
        <w:t xml:space="preserve">See </w:t>
      </w:r>
      <w:r w:rsidR="003118D6" w:rsidRPr="004C4C78">
        <w:t xml:space="preserve">Adrian Keane, </w:t>
      </w:r>
      <w:r w:rsidR="003118D6" w:rsidRPr="004C4C78">
        <w:rPr>
          <w:i/>
        </w:rPr>
        <w:t>Cross-Examination of Vulnerable Witnesses—Towards A Blueprint for Re-</w:t>
      </w:r>
      <w:proofErr w:type="spellStart"/>
      <w:r w:rsidR="003118D6" w:rsidRPr="004C4C78">
        <w:rPr>
          <w:i/>
        </w:rPr>
        <w:t>Professionalisation</w:t>
      </w:r>
      <w:proofErr w:type="spellEnd"/>
      <w:r w:rsidR="003118D6" w:rsidRPr="004C4C78">
        <w:t xml:space="preserve">, 16 Int’l J. </w:t>
      </w:r>
      <w:proofErr w:type="spellStart"/>
      <w:r w:rsidR="003118D6" w:rsidRPr="004C4C78">
        <w:t>Evid</w:t>
      </w:r>
      <w:proofErr w:type="spellEnd"/>
      <w:r w:rsidR="003118D6" w:rsidRPr="004C4C78">
        <w:t>. &amp; Proof 175, 176 (2012) (</w:t>
      </w:r>
      <w:r w:rsidR="00D6478C" w:rsidRPr="004C4C78">
        <w:t>describi</w:t>
      </w:r>
      <w:r w:rsidR="007D2C96" w:rsidRPr="004C4C78">
        <w:t>ng the difficul</w:t>
      </w:r>
      <w:r w:rsidR="00D6478C" w:rsidRPr="004C4C78">
        <w:t>ties that “vulnerable witnesses,” includ</w:t>
      </w:r>
      <w:r w:rsidR="007D2C96" w:rsidRPr="004C4C78">
        <w:t>ing witnesses who have survived traumatic events, have with cross-examination)</w:t>
      </w:r>
      <w:r w:rsidR="003118D6" w:rsidRPr="004C4C78">
        <w:rPr>
          <w:rFonts w:eastAsia="Times New Roman"/>
          <w:bCs/>
          <w:color w:val="333333"/>
          <w:shd w:val="clear" w:color="auto" w:fill="FFFFFF"/>
        </w:rPr>
        <w:t xml:space="preserve">. </w:t>
      </w:r>
      <w:r w:rsidR="00AB2CC2" w:rsidRPr="004C4C78">
        <w:rPr>
          <w:rFonts w:eastAsia="Times New Roman"/>
          <w:bCs/>
          <w:color w:val="333333"/>
          <w:shd w:val="clear" w:color="auto" w:fill="FFFFFF"/>
        </w:rPr>
        <w:t xml:space="preserve">Difficulties with cross-examination for individuals with </w:t>
      </w:r>
      <w:r w:rsidR="002126A9" w:rsidRPr="004C4C78">
        <w:rPr>
          <w:rFonts w:eastAsia="Times New Roman"/>
          <w:bCs/>
          <w:color w:val="333333"/>
          <w:highlight w:val="yellow"/>
          <w:shd w:val="clear" w:color="auto" w:fill="FFFFFF"/>
        </w:rPr>
        <w:t>PTSD or [mood disorder]</w:t>
      </w:r>
      <w:r w:rsidR="00AB2CC2" w:rsidRPr="004C4C78">
        <w:rPr>
          <w:rFonts w:eastAsia="Times New Roman"/>
          <w:bCs/>
          <w:color w:val="333333"/>
          <w:shd w:val="clear" w:color="auto" w:fill="FFFFFF"/>
        </w:rPr>
        <w:t xml:space="preserve"> come up for several reasons. </w:t>
      </w:r>
      <w:r w:rsidRPr="004C4C78">
        <w:t xml:space="preserve">Individuals </w:t>
      </w:r>
      <w:r w:rsidR="00A77E61" w:rsidRPr="004C4C78">
        <w:t xml:space="preserve">with these conditions </w:t>
      </w:r>
      <w:r w:rsidR="00AB2CC2" w:rsidRPr="004C4C78">
        <w:t xml:space="preserve">are typically </w:t>
      </w:r>
      <w:r w:rsidR="006321A8" w:rsidRPr="004C4C78">
        <w:t>more prone to anxiety than other witnesses</w:t>
      </w:r>
      <w:r w:rsidR="00AB2CC2" w:rsidRPr="004C4C78">
        <w:t>, which can adversely affect their recall</w:t>
      </w:r>
      <w:r w:rsidR="006321A8" w:rsidRPr="004C4C78">
        <w:t>.</w:t>
      </w:r>
      <w:r w:rsidR="00E21069" w:rsidRPr="004C4C78">
        <w:t xml:space="preserve"> </w:t>
      </w:r>
      <w:r w:rsidR="00E21069" w:rsidRPr="004C4C78">
        <w:rPr>
          <w:i/>
        </w:rPr>
        <w:t>Id</w:t>
      </w:r>
      <w:r w:rsidR="00E21069" w:rsidRPr="004C4C78">
        <w:t xml:space="preserve">. </w:t>
      </w:r>
      <w:r w:rsidR="006D2D07" w:rsidRPr="004C4C78">
        <w:rPr>
          <w:rFonts w:eastAsia="Times New Roman"/>
          <w:color w:val="000000" w:themeColor="text1"/>
        </w:rPr>
        <w:t xml:space="preserve">For these </w:t>
      </w:r>
      <w:r w:rsidR="006D2D07" w:rsidRPr="004C4C78">
        <w:rPr>
          <w:rFonts w:eastAsia="Times New Roman"/>
          <w:color w:val="000000" w:themeColor="text1"/>
        </w:rPr>
        <w:lastRenderedPageBreak/>
        <w:t xml:space="preserve">reasons, careful monitoring of the tone of cross-examination can be vital to ensuring that respondents answer truthfully. </w:t>
      </w:r>
      <w:r w:rsidR="00742C4F" w:rsidRPr="004C4C78">
        <w:t xml:space="preserve"> </w:t>
      </w:r>
      <w:r w:rsidR="00632056" w:rsidRPr="004C4C78">
        <w:t xml:space="preserve"> </w:t>
      </w:r>
      <w:r w:rsidR="00C11CEC">
        <w:t>Counsel also requests that the court allow</w:t>
      </w:r>
      <w:r w:rsidR="00C11CEC" w:rsidRPr="005130E0">
        <w:t xml:space="preserve"> </w:t>
      </w:r>
      <w:r w:rsidR="00C11CEC" w:rsidRPr="006A50EF">
        <w:rPr>
          <w:highlight w:val="yellow"/>
        </w:rPr>
        <w:t>CLIENT</w:t>
      </w:r>
      <w:r w:rsidR="00C11CEC" w:rsidRPr="005130E0">
        <w:t xml:space="preserve"> to take breaks after questioning if </w:t>
      </w:r>
      <w:r w:rsidR="00C11CEC" w:rsidRPr="006A50EF">
        <w:rPr>
          <w:highlight w:val="yellow"/>
        </w:rPr>
        <w:t>[HE/SHE]</w:t>
      </w:r>
      <w:r w:rsidR="00C11CEC">
        <w:t xml:space="preserve"> </w:t>
      </w:r>
      <w:r w:rsidR="00C11CEC" w:rsidRPr="005130E0">
        <w:t>app</w:t>
      </w:r>
      <w:r w:rsidR="00C11CEC" w:rsidRPr="007F7AEB">
        <w:t xml:space="preserve">ears agitated or hesitant. </w:t>
      </w:r>
    </w:p>
    <w:p w14:paraId="1F26257D" w14:textId="107192FA" w:rsidR="00742C4F" w:rsidRPr="00F3270B" w:rsidRDefault="00742C4F" w:rsidP="00C11CEC">
      <w:pPr>
        <w:pStyle w:val="ListParagraph"/>
        <w:numPr>
          <w:ilvl w:val="0"/>
          <w:numId w:val="15"/>
        </w:numPr>
        <w:spacing w:line="480" w:lineRule="auto"/>
        <w:rPr>
          <w:rFonts w:ascii="Times New Roman" w:hAnsi="Times New Roman" w:cs="Times New Roman"/>
          <w:b/>
          <w:sz w:val="24"/>
          <w:szCs w:val="24"/>
        </w:rPr>
      </w:pPr>
      <w:r w:rsidRPr="00F3270B">
        <w:rPr>
          <w:rFonts w:ascii="Times New Roman" w:hAnsi="Times New Roman" w:cs="Times New Roman"/>
          <w:b/>
          <w:sz w:val="24"/>
          <w:szCs w:val="24"/>
        </w:rPr>
        <w:t>Courtroom Environment Accommodations</w:t>
      </w:r>
    </w:p>
    <w:p w14:paraId="1578FB16" w14:textId="5D794CB1" w:rsidR="00B170BB" w:rsidRPr="004C4C78" w:rsidRDefault="0069101B" w:rsidP="00503DFD">
      <w:pPr>
        <w:spacing w:line="480" w:lineRule="auto"/>
      </w:pPr>
      <w:r w:rsidRPr="004C4C78">
        <w:t xml:space="preserve"> </w:t>
      </w:r>
      <w:r w:rsidRPr="004C4C78">
        <w:tab/>
      </w:r>
      <w:r w:rsidR="00742C4F" w:rsidRPr="004C4C78">
        <w:t xml:space="preserve">As the Executive Office of Immigration Review (EOIR) has acknowledged in the context of </w:t>
      </w:r>
      <w:r w:rsidR="003943AD" w:rsidRPr="004C4C78">
        <w:t xml:space="preserve">unaccompanied minors, members of vulnerable populations </w:t>
      </w:r>
      <w:r w:rsidR="00126B15">
        <w:t xml:space="preserve">like </w:t>
      </w:r>
      <w:r w:rsidR="00126B15" w:rsidRPr="00126B15">
        <w:rPr>
          <w:highlight w:val="yellow"/>
        </w:rPr>
        <w:t>C</w:t>
      </w:r>
      <w:r w:rsidR="003943AD" w:rsidRPr="00126B15">
        <w:rPr>
          <w:highlight w:val="yellow"/>
        </w:rPr>
        <w:t>LIENT</w:t>
      </w:r>
      <w:r w:rsidR="003943AD" w:rsidRPr="004C4C78">
        <w:t xml:space="preserve"> benefit greatly from accommodations to the courtroom environment. In its guidelines for accommodations for unaccompanied minors, EOIR noted that such modifications “need not </w:t>
      </w:r>
      <w:r w:rsidR="00376C6F" w:rsidRPr="004C4C78">
        <w:t xml:space="preserve">alter the serious nature of the proceedings,” but can actually help foster an atmosphere in which a person is better able to present a claim and participate more fully in the proceedings. </w:t>
      </w:r>
      <w:r w:rsidR="00376C6F" w:rsidRPr="004C4C78">
        <w:rPr>
          <w:i/>
        </w:rPr>
        <w:t xml:space="preserve">See </w:t>
      </w:r>
      <w:r w:rsidR="00C73D7A">
        <w:t xml:space="preserve">Memorandum to All Immigration Judges et al., from </w:t>
      </w:r>
      <w:r w:rsidR="005131A4" w:rsidRPr="004C4C78">
        <w:t>David L. Neal, Chief Immigration Judge</w:t>
      </w:r>
      <w:r w:rsidR="00E251E6">
        <w:t xml:space="preserve">, </w:t>
      </w:r>
      <w:r w:rsidR="00E251E6" w:rsidRPr="00E251E6">
        <w:rPr>
          <w:i/>
        </w:rPr>
        <w:t>Operating Policies and Procedures Memorandum 07-01: Guidelines for Immigration Court Cases Involving Unaccompanied Alien Children</w:t>
      </w:r>
      <w:r w:rsidR="005131A4" w:rsidRPr="004C4C78">
        <w:t xml:space="preserve">, </w:t>
      </w:r>
      <w:r w:rsidR="00C73D7A">
        <w:t>M</w:t>
      </w:r>
      <w:r w:rsidR="00E251E6">
        <w:t xml:space="preserve">ay 22, 2007, </w:t>
      </w:r>
      <w:r w:rsidR="00C73D7A">
        <w:t>at 5</w:t>
      </w:r>
      <w:r w:rsidR="005131A4" w:rsidRPr="004C4C78">
        <w:t xml:space="preserve">. </w:t>
      </w:r>
      <w:r w:rsidR="000E71E3" w:rsidRPr="004C4C78">
        <w:t xml:space="preserve">Many of the recommendations for unaccompanied minors are readily applicable to adults with </w:t>
      </w:r>
      <w:r w:rsidR="002126A9" w:rsidRPr="004C4C78">
        <w:rPr>
          <w:highlight w:val="yellow"/>
        </w:rPr>
        <w:t>PTSD or [mood disorder]</w:t>
      </w:r>
      <w:r w:rsidR="000E71E3" w:rsidRPr="004C4C78">
        <w:t>.</w:t>
      </w:r>
      <w:r w:rsidR="00CC16ED" w:rsidRPr="004C4C78">
        <w:t xml:space="preserve"> </w:t>
      </w:r>
      <w:r w:rsidR="00994C28" w:rsidRPr="004C4C78">
        <w:t>These accom</w:t>
      </w:r>
      <w:r w:rsidR="000D12F4" w:rsidRPr="004C4C78">
        <w:t>m</w:t>
      </w:r>
      <w:r w:rsidR="00994C28" w:rsidRPr="004C4C78">
        <w:t xml:space="preserve">odations </w:t>
      </w:r>
      <w:proofErr w:type="gramStart"/>
      <w:r w:rsidR="00994C28" w:rsidRPr="004C4C78">
        <w:t>include:</w:t>
      </w:r>
      <w:proofErr w:type="gramEnd"/>
      <w:r w:rsidR="007972C3" w:rsidRPr="004C4C78">
        <w:t xml:space="preserve"> closing courtrooms, scheduling hearings consonant with medication schedules </w:t>
      </w:r>
      <w:r w:rsidR="002603D5" w:rsidRPr="004C4C78">
        <w:t xml:space="preserve">or </w:t>
      </w:r>
      <w:r w:rsidR="0036632A" w:rsidRPr="004C4C78">
        <w:t xml:space="preserve">so that a person is </w:t>
      </w:r>
      <w:r w:rsidR="002603D5" w:rsidRPr="004C4C78">
        <w:t>first on the docket</w:t>
      </w:r>
      <w:r w:rsidR="00626A62" w:rsidRPr="004C4C78">
        <w:t xml:space="preserve">, removing robes and conducting hearings in separate rooms, and/or unshackling </w:t>
      </w:r>
      <w:r w:rsidR="00626A62" w:rsidRPr="004C4C78">
        <w:rPr>
          <w:highlight w:val="yellow"/>
        </w:rPr>
        <w:t>CLIENT</w:t>
      </w:r>
      <w:r w:rsidR="00626A62" w:rsidRPr="004C4C78">
        <w:t xml:space="preserve"> in the courtroom.</w:t>
      </w:r>
      <w:r w:rsidR="002603D5" w:rsidRPr="004C4C78">
        <w:t xml:space="preserve"> </w:t>
      </w:r>
    </w:p>
    <w:p w14:paraId="5D454A31" w14:textId="77777777" w:rsidR="00406DBB" w:rsidRPr="004C4C78" w:rsidRDefault="00406DBB" w:rsidP="00503DFD">
      <w:pPr>
        <w:pStyle w:val="ListParagraph"/>
        <w:numPr>
          <w:ilvl w:val="0"/>
          <w:numId w:val="3"/>
        </w:numPr>
        <w:spacing w:line="480" w:lineRule="auto"/>
        <w:rPr>
          <w:rFonts w:ascii="Times New Roman" w:hAnsi="Times New Roman" w:cs="Times New Roman"/>
          <w:sz w:val="24"/>
          <w:szCs w:val="24"/>
        </w:rPr>
      </w:pPr>
      <w:r w:rsidRPr="004C4C78">
        <w:rPr>
          <w:rFonts w:ascii="Times New Roman" w:hAnsi="Times New Roman" w:cs="Times New Roman"/>
          <w:b/>
          <w:sz w:val="24"/>
          <w:szCs w:val="24"/>
        </w:rPr>
        <w:t xml:space="preserve">Closed </w:t>
      </w:r>
      <w:r w:rsidR="00994C28" w:rsidRPr="004C4C78">
        <w:rPr>
          <w:rFonts w:ascii="Times New Roman" w:hAnsi="Times New Roman" w:cs="Times New Roman"/>
          <w:b/>
          <w:sz w:val="24"/>
          <w:szCs w:val="24"/>
        </w:rPr>
        <w:t>Courtrooms</w:t>
      </w:r>
    </w:p>
    <w:p w14:paraId="463C136A" w14:textId="71E0205C" w:rsidR="00406DBB" w:rsidRPr="004C4C78" w:rsidRDefault="00931302" w:rsidP="00503DFD">
      <w:pPr>
        <w:spacing w:line="480" w:lineRule="auto"/>
        <w:ind w:left="360"/>
      </w:pPr>
      <w:r w:rsidRPr="004C4C78">
        <w:t xml:space="preserve">People with </w:t>
      </w:r>
      <w:r w:rsidRPr="004C4C78">
        <w:rPr>
          <w:highlight w:val="yellow"/>
        </w:rPr>
        <w:t>PTSD or [mood disorder]</w:t>
      </w:r>
      <w:r w:rsidRPr="004C4C78">
        <w:t xml:space="preserve"> </w:t>
      </w:r>
      <w:r w:rsidR="00406DBB" w:rsidRPr="004C4C78">
        <w:t>can be very sensitive to their environments.</w:t>
      </w:r>
      <w:r w:rsidR="0038092D" w:rsidRPr="004C4C78">
        <w:t xml:space="preserve"> </w:t>
      </w:r>
      <w:r w:rsidRPr="004C4C78">
        <w:t xml:space="preserve">For people who had traumatic experiences with authority figures in their home countries, for example, being in a courtroom can be particularly re-traumatizing. </w:t>
      </w:r>
      <w:r w:rsidR="00AD448A" w:rsidRPr="004C4C78">
        <w:rPr>
          <w:i/>
        </w:rPr>
        <w:t xml:space="preserve">See </w:t>
      </w:r>
      <w:r w:rsidR="009F5082" w:rsidRPr="004C4C78">
        <w:t xml:space="preserve">Ctr. L. &amp; Court Tech., </w:t>
      </w:r>
      <w:r w:rsidR="004071DD" w:rsidRPr="004C4C78">
        <w:rPr>
          <w:i/>
        </w:rPr>
        <w:t>Accommodating PTSD in Our Courts</w:t>
      </w:r>
      <w:r w:rsidR="004A04D8" w:rsidRPr="004C4C78">
        <w:t xml:space="preserve"> (2014)</w:t>
      </w:r>
      <w:r w:rsidR="0036632A" w:rsidRPr="004C4C78">
        <w:t xml:space="preserve"> http://www.legaltechcenter.net/download/whitepapers/Accommodating%20PTSD%20in%20</w:t>
      </w:r>
      <w:r w:rsidR="0036632A" w:rsidRPr="004C4C78">
        <w:lastRenderedPageBreak/>
        <w:t>our%20Courts.pdf</w:t>
      </w:r>
      <w:r w:rsidR="004A04D8" w:rsidRPr="004C4C78">
        <w:t>.</w:t>
      </w:r>
      <w:r w:rsidR="004071DD" w:rsidRPr="004C4C78">
        <w:t xml:space="preserve"> </w:t>
      </w:r>
      <w:r w:rsidR="0038092D" w:rsidRPr="004C4C78">
        <w:t xml:space="preserve">Closing the courtroom will not only protect </w:t>
      </w:r>
      <w:r w:rsidR="0038092D" w:rsidRPr="004C4C78">
        <w:rPr>
          <w:highlight w:val="yellow"/>
        </w:rPr>
        <w:t>CLIENT’s</w:t>
      </w:r>
      <w:r w:rsidR="0038092D" w:rsidRPr="004C4C78">
        <w:t xml:space="preserve"> privacy as sensitive issues may be discussed, but will reduce distractions</w:t>
      </w:r>
      <w:r w:rsidR="0036632A" w:rsidRPr="004C4C78">
        <w:t xml:space="preserve"> that stem</w:t>
      </w:r>
      <w:r w:rsidR="0038092D" w:rsidRPr="004C4C78">
        <w:t xml:space="preserve"> from having other people in the courtroom that could </w:t>
      </w:r>
      <w:r w:rsidR="00961A78" w:rsidRPr="004C4C78">
        <w:t xml:space="preserve">further inhibit </w:t>
      </w:r>
      <w:r w:rsidR="00961A78" w:rsidRPr="004C4C78">
        <w:rPr>
          <w:highlight w:val="yellow"/>
        </w:rPr>
        <w:t>CLIENT’s</w:t>
      </w:r>
      <w:r w:rsidR="00961A78" w:rsidRPr="004C4C78">
        <w:t xml:space="preserve"> ability to testify.</w:t>
      </w:r>
      <w:r w:rsidR="00787C32" w:rsidRPr="004C4C78">
        <w:t xml:space="preserve"> Such accommodations </w:t>
      </w:r>
      <w:r w:rsidR="0012730E" w:rsidRPr="004C4C78">
        <w:t xml:space="preserve">are </w:t>
      </w:r>
      <w:r w:rsidR="00787C32" w:rsidRPr="004C4C78">
        <w:t xml:space="preserve">also consistent with what immigration courts already do with unaccompanied minors. </w:t>
      </w:r>
      <w:r w:rsidR="00787C32" w:rsidRPr="004C4C78">
        <w:rPr>
          <w:i/>
        </w:rPr>
        <w:t xml:space="preserve">See </w:t>
      </w:r>
      <w:r w:rsidR="006C794E">
        <w:t xml:space="preserve">Memorandum to All Immigration Judges et al., from </w:t>
      </w:r>
      <w:r w:rsidR="006C794E" w:rsidRPr="004C4C78">
        <w:t>David L. Neal, Chief Immigration Judge</w:t>
      </w:r>
      <w:r w:rsidR="006C794E">
        <w:t xml:space="preserve">, </w:t>
      </w:r>
      <w:r w:rsidR="006C794E" w:rsidRPr="00E251E6">
        <w:rPr>
          <w:i/>
        </w:rPr>
        <w:t>Operating Policies and Procedures Memorandum 07-01: Guidelines for Immigration Court Cases Involving Unaccompanied Alien Children</w:t>
      </w:r>
      <w:r w:rsidR="006C794E" w:rsidRPr="004C4C78">
        <w:t xml:space="preserve">, </w:t>
      </w:r>
      <w:r w:rsidR="006C794E">
        <w:t>May 22, 2007, at 8</w:t>
      </w:r>
      <w:r w:rsidR="00787C32" w:rsidRPr="004C4C78">
        <w:t xml:space="preserve">.  </w:t>
      </w:r>
    </w:p>
    <w:p w14:paraId="09C1ACA4" w14:textId="77777777" w:rsidR="00787C32" w:rsidRPr="004C4C78" w:rsidRDefault="007562CF" w:rsidP="00503DFD">
      <w:pPr>
        <w:pStyle w:val="ListParagraph"/>
        <w:numPr>
          <w:ilvl w:val="0"/>
          <w:numId w:val="3"/>
        </w:numPr>
        <w:spacing w:line="480" w:lineRule="auto"/>
        <w:rPr>
          <w:rFonts w:ascii="Times New Roman" w:hAnsi="Times New Roman" w:cs="Times New Roman"/>
          <w:noProof/>
          <w:sz w:val="24"/>
          <w:szCs w:val="24"/>
        </w:rPr>
      </w:pPr>
      <w:r w:rsidRPr="004C4C78">
        <w:rPr>
          <w:rFonts w:ascii="Times New Roman" w:hAnsi="Times New Roman" w:cs="Times New Roman"/>
          <w:b/>
          <w:noProof/>
          <w:sz w:val="24"/>
          <w:szCs w:val="24"/>
        </w:rPr>
        <w:t xml:space="preserve">Scheduling of </w:t>
      </w:r>
      <w:r w:rsidRPr="004C4C78">
        <w:rPr>
          <w:rFonts w:ascii="Times New Roman" w:hAnsi="Times New Roman" w:cs="Times New Roman"/>
          <w:b/>
          <w:noProof/>
          <w:sz w:val="24"/>
          <w:szCs w:val="24"/>
          <w:highlight w:val="yellow"/>
        </w:rPr>
        <w:t>CLIENT’s</w:t>
      </w:r>
      <w:r w:rsidRPr="004C4C78">
        <w:rPr>
          <w:rFonts w:ascii="Times New Roman" w:hAnsi="Times New Roman" w:cs="Times New Roman"/>
          <w:b/>
          <w:noProof/>
          <w:sz w:val="24"/>
          <w:szCs w:val="24"/>
        </w:rPr>
        <w:t xml:space="preserve"> case</w:t>
      </w:r>
      <w:r w:rsidR="006D2D07" w:rsidRPr="004C4C78">
        <w:rPr>
          <w:rFonts w:ascii="Times New Roman" w:hAnsi="Times New Roman" w:cs="Times New Roman"/>
          <w:b/>
          <w:noProof/>
          <w:sz w:val="24"/>
          <w:szCs w:val="24"/>
        </w:rPr>
        <w:t xml:space="preserve"> [if </w:t>
      </w:r>
      <w:r w:rsidR="006D2D07" w:rsidRPr="004C4C78">
        <w:rPr>
          <w:rFonts w:ascii="Times New Roman" w:hAnsi="Times New Roman" w:cs="Times New Roman"/>
          <w:b/>
          <w:noProof/>
          <w:sz w:val="24"/>
          <w:szCs w:val="24"/>
          <w:highlight w:val="yellow"/>
        </w:rPr>
        <w:t>CLIENT</w:t>
      </w:r>
      <w:r w:rsidR="006D2D07" w:rsidRPr="004C4C78">
        <w:rPr>
          <w:rFonts w:ascii="Times New Roman" w:hAnsi="Times New Roman" w:cs="Times New Roman"/>
          <w:b/>
          <w:noProof/>
          <w:sz w:val="24"/>
          <w:szCs w:val="24"/>
        </w:rPr>
        <w:t xml:space="preserve"> takes medication]</w:t>
      </w:r>
    </w:p>
    <w:p w14:paraId="6608CEF7" w14:textId="524B5FC4" w:rsidR="007562CF" w:rsidRPr="004C4C78" w:rsidRDefault="006D2D07" w:rsidP="00F979B6">
      <w:pPr>
        <w:spacing w:line="480" w:lineRule="auto"/>
        <w:ind w:left="360" w:firstLine="270"/>
        <w:rPr>
          <w:noProof/>
        </w:rPr>
      </w:pPr>
      <w:r w:rsidRPr="004C4C78">
        <w:rPr>
          <w:noProof/>
          <w:highlight w:val="yellow"/>
        </w:rPr>
        <w:t>CLIENT</w:t>
      </w:r>
      <w:r w:rsidRPr="004C4C78">
        <w:rPr>
          <w:noProof/>
        </w:rPr>
        <w:t xml:space="preserve"> takes medication that causes side effects that </w:t>
      </w:r>
      <w:r w:rsidR="0036632A" w:rsidRPr="004C4C78">
        <w:rPr>
          <w:noProof/>
        </w:rPr>
        <w:t xml:space="preserve">may influence </w:t>
      </w:r>
      <w:r w:rsidR="0036632A" w:rsidRPr="005F4BED">
        <w:rPr>
          <w:noProof/>
          <w:highlight w:val="yellow"/>
        </w:rPr>
        <w:t>[HIS/HER]</w:t>
      </w:r>
      <w:r w:rsidR="0036632A" w:rsidRPr="004C4C78">
        <w:rPr>
          <w:noProof/>
        </w:rPr>
        <w:t xml:space="preserve"> alertness </w:t>
      </w:r>
      <w:r w:rsidRPr="004C4C78">
        <w:rPr>
          <w:noProof/>
        </w:rPr>
        <w:t>over the course of the day.</w:t>
      </w:r>
      <w:r w:rsidR="005F4BED">
        <w:rPr>
          <w:noProof/>
        </w:rPr>
        <w:t xml:space="preserve"> </w:t>
      </w:r>
      <w:r w:rsidR="005F4BED" w:rsidRPr="00AA01D9">
        <w:rPr>
          <w:noProof/>
          <w:highlight w:val="yellow"/>
        </w:rPr>
        <w:t>[</w:t>
      </w:r>
      <w:r w:rsidR="005F4BED" w:rsidRPr="00AA01D9">
        <w:rPr>
          <w:i/>
          <w:noProof/>
          <w:highlight w:val="yellow"/>
        </w:rPr>
        <w:t>include more details about the medication and its side effects if available</w:t>
      </w:r>
      <w:r w:rsidR="005F4BED" w:rsidRPr="00AA01D9">
        <w:rPr>
          <w:noProof/>
          <w:highlight w:val="yellow"/>
        </w:rPr>
        <w:t>]</w:t>
      </w:r>
      <w:r w:rsidRPr="004C4C78">
        <w:rPr>
          <w:noProof/>
        </w:rPr>
        <w:t xml:space="preserve"> In light of this fact, t</w:t>
      </w:r>
      <w:r w:rsidR="007D3616" w:rsidRPr="004C4C78">
        <w:rPr>
          <w:noProof/>
        </w:rPr>
        <w:t xml:space="preserve">he Court should </w:t>
      </w:r>
      <w:r w:rsidR="007F7AEB" w:rsidRPr="004C4C78">
        <w:rPr>
          <w:noProof/>
        </w:rPr>
        <w:t xml:space="preserve">ensure that scheduling of </w:t>
      </w:r>
      <w:r w:rsidR="007F7AEB" w:rsidRPr="004C4C78">
        <w:rPr>
          <w:noProof/>
          <w:highlight w:val="yellow"/>
        </w:rPr>
        <w:t>CLIENT’s</w:t>
      </w:r>
      <w:r w:rsidR="007F7AEB" w:rsidRPr="004C4C78">
        <w:rPr>
          <w:noProof/>
        </w:rPr>
        <w:t xml:space="preserve"> case is </w:t>
      </w:r>
      <w:r w:rsidR="0074543F" w:rsidRPr="004C4C78">
        <w:rPr>
          <w:noProof/>
        </w:rPr>
        <w:t>consistent with any medication schedule</w:t>
      </w:r>
      <w:r w:rsidR="007D3616" w:rsidRPr="004C4C78">
        <w:rPr>
          <w:noProof/>
        </w:rPr>
        <w:t xml:space="preserve"> and might also consider scheduling </w:t>
      </w:r>
      <w:r w:rsidR="007D3616" w:rsidRPr="004C4C78">
        <w:rPr>
          <w:noProof/>
          <w:highlight w:val="yellow"/>
        </w:rPr>
        <w:t>CLIENT</w:t>
      </w:r>
      <w:r w:rsidR="007D3616" w:rsidRPr="004C4C78">
        <w:rPr>
          <w:noProof/>
        </w:rPr>
        <w:t xml:space="preserve"> first on the docket so as to reduce </w:t>
      </w:r>
      <w:r w:rsidR="0036632A" w:rsidRPr="004C4C78">
        <w:rPr>
          <w:noProof/>
        </w:rPr>
        <w:t xml:space="preserve">any possible </w:t>
      </w:r>
      <w:r w:rsidR="007D3616" w:rsidRPr="004C4C78">
        <w:rPr>
          <w:noProof/>
        </w:rPr>
        <w:t>agitation</w:t>
      </w:r>
      <w:r w:rsidR="00931302" w:rsidRPr="004C4C78">
        <w:rPr>
          <w:noProof/>
        </w:rPr>
        <w:t>.</w:t>
      </w:r>
      <w:r w:rsidR="00F410A5" w:rsidRPr="004C4C78">
        <w:rPr>
          <w:noProof/>
        </w:rPr>
        <w:t xml:space="preserve"> </w:t>
      </w:r>
    </w:p>
    <w:p w14:paraId="7AF8CD31" w14:textId="3F550239" w:rsidR="007D3616" w:rsidRPr="004C4C78" w:rsidRDefault="007D3616" w:rsidP="00503DFD">
      <w:pPr>
        <w:pStyle w:val="ListParagraph"/>
        <w:numPr>
          <w:ilvl w:val="0"/>
          <w:numId w:val="3"/>
        </w:numPr>
        <w:spacing w:line="480" w:lineRule="auto"/>
        <w:rPr>
          <w:rFonts w:ascii="Times New Roman" w:hAnsi="Times New Roman" w:cs="Times New Roman"/>
          <w:b/>
          <w:noProof/>
          <w:sz w:val="24"/>
          <w:szCs w:val="24"/>
        </w:rPr>
      </w:pPr>
      <w:r w:rsidRPr="004C4C78">
        <w:rPr>
          <w:rFonts w:ascii="Times New Roman" w:hAnsi="Times New Roman" w:cs="Times New Roman"/>
          <w:b/>
          <w:noProof/>
          <w:sz w:val="24"/>
          <w:szCs w:val="24"/>
        </w:rPr>
        <w:t xml:space="preserve">Removing </w:t>
      </w:r>
      <w:r w:rsidR="00797EAF">
        <w:rPr>
          <w:rFonts w:ascii="Times New Roman" w:hAnsi="Times New Roman" w:cs="Times New Roman"/>
          <w:b/>
          <w:noProof/>
          <w:sz w:val="24"/>
          <w:szCs w:val="24"/>
        </w:rPr>
        <w:t>R</w:t>
      </w:r>
      <w:r w:rsidRPr="004C4C78">
        <w:rPr>
          <w:rFonts w:ascii="Times New Roman" w:hAnsi="Times New Roman" w:cs="Times New Roman"/>
          <w:b/>
          <w:noProof/>
          <w:sz w:val="24"/>
          <w:szCs w:val="24"/>
        </w:rPr>
        <w:t>obes</w:t>
      </w:r>
      <w:r w:rsidR="007110D9" w:rsidRPr="004C4C78">
        <w:rPr>
          <w:rFonts w:ascii="Times New Roman" w:hAnsi="Times New Roman" w:cs="Times New Roman"/>
          <w:b/>
          <w:noProof/>
          <w:sz w:val="24"/>
          <w:szCs w:val="24"/>
        </w:rPr>
        <w:t xml:space="preserve"> and Conducting Hearings in </w:t>
      </w:r>
      <w:r w:rsidR="00F410A5" w:rsidRPr="004C4C78">
        <w:rPr>
          <w:rFonts w:ascii="Times New Roman" w:hAnsi="Times New Roman" w:cs="Times New Roman"/>
          <w:b/>
          <w:noProof/>
          <w:sz w:val="24"/>
          <w:szCs w:val="24"/>
        </w:rPr>
        <w:t xml:space="preserve">Conference Rooms </w:t>
      </w:r>
    </w:p>
    <w:p w14:paraId="35E4CD7B" w14:textId="540B4D5A" w:rsidR="007D3616" w:rsidRPr="004C4C78" w:rsidRDefault="001135C7" w:rsidP="00CF703B">
      <w:pPr>
        <w:spacing w:line="480" w:lineRule="auto"/>
        <w:ind w:left="270" w:firstLine="360"/>
        <w:rPr>
          <w:noProof/>
        </w:rPr>
      </w:pPr>
      <w:r w:rsidRPr="004C4C78">
        <w:rPr>
          <w:noProof/>
        </w:rPr>
        <w:t xml:space="preserve">Clothing has the power to shape and influence our perceptions and behavior. </w:t>
      </w:r>
      <w:r w:rsidRPr="004C4C78">
        <w:rPr>
          <w:i/>
          <w:noProof/>
        </w:rPr>
        <w:t xml:space="preserve">See </w:t>
      </w:r>
      <w:r w:rsidR="00332BED" w:rsidRPr="004C4C78">
        <w:rPr>
          <w:noProof/>
        </w:rPr>
        <w:t xml:space="preserve">Hajo Adam &amp; Adam D. Galinksy, </w:t>
      </w:r>
      <w:r w:rsidR="00332BED" w:rsidRPr="004C4C78">
        <w:rPr>
          <w:i/>
          <w:noProof/>
        </w:rPr>
        <w:t>Enclothed Cognition</w:t>
      </w:r>
      <w:r w:rsidR="00332BED" w:rsidRPr="004C4C78">
        <w:rPr>
          <w:noProof/>
        </w:rPr>
        <w:t>, 48 J. Experimental Soc. Pscyh</w:t>
      </w:r>
      <w:r w:rsidR="00DC626B" w:rsidRPr="004C4C78">
        <w:rPr>
          <w:noProof/>
        </w:rPr>
        <w:t>.</w:t>
      </w:r>
      <w:r w:rsidR="00332BED" w:rsidRPr="004C4C78">
        <w:rPr>
          <w:noProof/>
        </w:rPr>
        <w:t xml:space="preserve"> </w:t>
      </w:r>
      <w:r w:rsidR="00A65CCF" w:rsidRPr="004C4C78">
        <w:rPr>
          <w:noProof/>
        </w:rPr>
        <w:t xml:space="preserve">918 (2012) (describing results of experiments where people wearing a lab coat </w:t>
      </w:r>
      <w:r w:rsidR="00DC626B" w:rsidRPr="004C4C78">
        <w:rPr>
          <w:noProof/>
        </w:rPr>
        <w:t xml:space="preserve">that they were </w:t>
      </w:r>
      <w:r w:rsidR="00A65CCF" w:rsidRPr="004C4C78">
        <w:rPr>
          <w:noProof/>
        </w:rPr>
        <w:t>told w</w:t>
      </w:r>
      <w:r w:rsidR="00DC626B" w:rsidRPr="004C4C78">
        <w:rPr>
          <w:noProof/>
        </w:rPr>
        <w:t>as</w:t>
      </w:r>
      <w:r w:rsidR="00A65CCF" w:rsidRPr="004C4C78">
        <w:rPr>
          <w:noProof/>
        </w:rPr>
        <w:t xml:space="preserve"> a doctor’s coat performed better on tasks requiring attention to detail). </w:t>
      </w:r>
      <w:r w:rsidR="007D3616" w:rsidRPr="004C4C78">
        <w:rPr>
          <w:noProof/>
        </w:rPr>
        <w:t>A judge’s robe is a symbol of independence and authority</w:t>
      </w:r>
      <w:r w:rsidR="00A65CCF" w:rsidRPr="004C4C78">
        <w:rPr>
          <w:noProof/>
        </w:rPr>
        <w:t xml:space="preserve">. </w:t>
      </w:r>
      <w:r w:rsidR="00EB6FEC" w:rsidRPr="004C4C78">
        <w:rPr>
          <w:i/>
          <w:noProof/>
        </w:rPr>
        <w:t>See Jenevein v. Willing</w:t>
      </w:r>
      <w:r w:rsidR="00EB6FEC" w:rsidRPr="004C4C78">
        <w:rPr>
          <w:noProof/>
        </w:rPr>
        <w:t>, 4</w:t>
      </w:r>
      <w:r w:rsidR="001863DC" w:rsidRPr="004C4C78">
        <w:rPr>
          <w:noProof/>
        </w:rPr>
        <w:t>93</w:t>
      </w:r>
      <w:r w:rsidR="00EB6FEC" w:rsidRPr="004C4C78">
        <w:rPr>
          <w:noProof/>
        </w:rPr>
        <w:t xml:space="preserve"> F.3d 551, </w:t>
      </w:r>
      <w:r w:rsidR="00121C00" w:rsidRPr="004C4C78">
        <w:rPr>
          <w:noProof/>
        </w:rPr>
        <w:t xml:space="preserve">560 </w:t>
      </w:r>
      <w:r w:rsidR="001863DC" w:rsidRPr="004C4C78">
        <w:rPr>
          <w:noProof/>
        </w:rPr>
        <w:t xml:space="preserve">(5th Cir. </w:t>
      </w:r>
      <w:r w:rsidR="00706BCF" w:rsidRPr="004C4C78">
        <w:rPr>
          <w:noProof/>
        </w:rPr>
        <w:t xml:space="preserve">2007) </w:t>
      </w:r>
      <w:r w:rsidR="00121C00" w:rsidRPr="004C4C78">
        <w:rPr>
          <w:noProof/>
        </w:rPr>
        <w:t xml:space="preserve">(describing judge’s robe as setting aside the “judge’s individuality and passions.”). </w:t>
      </w:r>
      <w:r w:rsidR="007D3616" w:rsidRPr="004C4C78">
        <w:rPr>
          <w:noProof/>
        </w:rPr>
        <w:t xml:space="preserve"> </w:t>
      </w:r>
      <w:r w:rsidR="005657D5" w:rsidRPr="004C4C78">
        <w:rPr>
          <w:noProof/>
        </w:rPr>
        <w:t xml:space="preserve">But a judge’s robe can also be </w:t>
      </w:r>
      <w:r w:rsidR="00F979B6" w:rsidRPr="004C4C78">
        <w:rPr>
          <w:noProof/>
        </w:rPr>
        <w:t xml:space="preserve">intimidating and retraumatizing for a person with a mental health disability. </w:t>
      </w:r>
      <w:r w:rsidR="007110D9" w:rsidRPr="004C4C78">
        <w:rPr>
          <w:noProof/>
        </w:rPr>
        <w:t xml:space="preserve">When working with children, many courts, including immigration courts, are </w:t>
      </w:r>
      <w:r w:rsidR="007110D9" w:rsidRPr="004C4C78">
        <w:rPr>
          <w:noProof/>
        </w:rPr>
        <w:lastRenderedPageBreak/>
        <w:t>cognizant of the dual nature of the judge’s robe, and recommend removing the robe, and if possible,</w:t>
      </w:r>
      <w:r w:rsidR="002723CF" w:rsidRPr="004C4C78">
        <w:rPr>
          <w:noProof/>
        </w:rPr>
        <w:t xml:space="preserve"> proceeding</w:t>
      </w:r>
      <w:r w:rsidR="007110D9" w:rsidRPr="004C4C78">
        <w:rPr>
          <w:noProof/>
        </w:rPr>
        <w:t xml:space="preserve"> in a separate room in order to make respondent more comfortable.</w:t>
      </w:r>
      <w:r w:rsidR="00E8639B" w:rsidRPr="00E8639B">
        <w:t xml:space="preserve"> </w:t>
      </w:r>
      <w:r w:rsidR="00E8639B">
        <w:rPr>
          <w:i/>
        </w:rPr>
        <w:t xml:space="preserve">See </w:t>
      </w:r>
      <w:r w:rsidR="00E8639B">
        <w:t xml:space="preserve">Memorandum to All Immigration Judges et al., from </w:t>
      </w:r>
      <w:r w:rsidR="00E8639B" w:rsidRPr="004C4C78">
        <w:t>David L. Neal, Chief Immigration Judge</w:t>
      </w:r>
      <w:r w:rsidR="00E8639B">
        <w:t xml:space="preserve">, </w:t>
      </w:r>
      <w:r w:rsidR="00E8639B" w:rsidRPr="00E251E6">
        <w:rPr>
          <w:i/>
        </w:rPr>
        <w:t>Operating Policies and Procedures Memorandum 07-01: Guidelines for Immigration Court Cases Involving Unaccompanied Alien Children</w:t>
      </w:r>
      <w:r w:rsidR="00E8639B" w:rsidRPr="004C4C78">
        <w:t xml:space="preserve">, </w:t>
      </w:r>
      <w:r w:rsidR="00E8639B">
        <w:t>May 22, 2007, at</w:t>
      </w:r>
      <w:r w:rsidR="003E06BF">
        <w:t xml:space="preserve"> 8 (making this recommendation)</w:t>
      </w:r>
      <w:r w:rsidR="002D3739" w:rsidRPr="004C4C78">
        <w:t xml:space="preserve">. The same justifications for removing robes when working with children also apply to adults with mental health conditions such as PTSD. </w:t>
      </w:r>
      <w:r w:rsidR="00DA5850" w:rsidRPr="004C4C78">
        <w:t xml:space="preserve">A simple gesture like removing one’s robe could play an important role in reducing </w:t>
      </w:r>
      <w:r w:rsidR="00DA5850" w:rsidRPr="004C4C78">
        <w:rPr>
          <w:highlight w:val="yellow"/>
        </w:rPr>
        <w:t>CLIENT’s</w:t>
      </w:r>
      <w:r w:rsidR="00DA5850" w:rsidRPr="004C4C78">
        <w:t xml:space="preserve"> agitation.</w:t>
      </w:r>
    </w:p>
    <w:p w14:paraId="25ABCB1E" w14:textId="162ED29B" w:rsidR="000C7AD3" w:rsidRPr="004C4C78" w:rsidRDefault="000C7AD3" w:rsidP="00503DFD">
      <w:pPr>
        <w:pStyle w:val="ListParagraph"/>
        <w:numPr>
          <w:ilvl w:val="0"/>
          <w:numId w:val="3"/>
        </w:numPr>
        <w:spacing w:line="480" w:lineRule="auto"/>
        <w:rPr>
          <w:rFonts w:ascii="Times New Roman" w:hAnsi="Times New Roman" w:cs="Times New Roman"/>
          <w:b/>
          <w:noProof/>
          <w:sz w:val="24"/>
          <w:szCs w:val="24"/>
        </w:rPr>
      </w:pPr>
      <w:r w:rsidRPr="004C4C78">
        <w:rPr>
          <w:rFonts w:ascii="Times New Roman" w:hAnsi="Times New Roman" w:cs="Times New Roman"/>
          <w:b/>
          <w:noProof/>
          <w:sz w:val="24"/>
          <w:szCs w:val="24"/>
        </w:rPr>
        <w:t xml:space="preserve">Unshackling </w:t>
      </w:r>
      <w:r w:rsidRPr="004C4C78">
        <w:rPr>
          <w:rFonts w:ascii="Times New Roman" w:hAnsi="Times New Roman" w:cs="Times New Roman"/>
          <w:b/>
          <w:noProof/>
          <w:sz w:val="24"/>
          <w:szCs w:val="24"/>
          <w:highlight w:val="yellow"/>
        </w:rPr>
        <w:t>CLIENT</w:t>
      </w:r>
      <w:r w:rsidRPr="00F54266">
        <w:rPr>
          <w:rFonts w:ascii="Times New Roman" w:hAnsi="Times New Roman" w:cs="Times New Roman"/>
          <w:b/>
          <w:i/>
          <w:noProof/>
          <w:sz w:val="24"/>
          <w:szCs w:val="24"/>
        </w:rPr>
        <w:t xml:space="preserve"> </w:t>
      </w:r>
      <w:r w:rsidR="00253AE4" w:rsidRPr="00F54266">
        <w:rPr>
          <w:rFonts w:ascii="Times New Roman" w:hAnsi="Times New Roman" w:cs="Times New Roman"/>
          <w:b/>
          <w:i/>
          <w:noProof/>
          <w:sz w:val="24"/>
          <w:szCs w:val="24"/>
        </w:rPr>
        <w:t>[</w:t>
      </w:r>
      <w:r w:rsidRPr="00F54266">
        <w:rPr>
          <w:rFonts w:ascii="Times New Roman" w:hAnsi="Times New Roman" w:cs="Times New Roman"/>
          <w:b/>
          <w:i/>
          <w:noProof/>
          <w:sz w:val="24"/>
          <w:szCs w:val="24"/>
          <w:highlight w:val="yellow"/>
        </w:rPr>
        <w:t>if detained</w:t>
      </w:r>
      <w:r w:rsidR="00253AE4" w:rsidRPr="00F54266">
        <w:rPr>
          <w:rFonts w:ascii="Times New Roman" w:hAnsi="Times New Roman" w:cs="Times New Roman"/>
          <w:b/>
          <w:i/>
          <w:noProof/>
          <w:sz w:val="24"/>
          <w:szCs w:val="24"/>
        </w:rPr>
        <w:t>]</w:t>
      </w:r>
    </w:p>
    <w:p w14:paraId="4A9BF2CC" w14:textId="06A2CA49" w:rsidR="00895E4B" w:rsidRPr="004C4C78" w:rsidRDefault="002F530B" w:rsidP="00F979B6">
      <w:pPr>
        <w:spacing w:line="480" w:lineRule="auto"/>
        <w:ind w:left="360" w:firstLine="360"/>
        <w:rPr>
          <w:noProof/>
        </w:rPr>
      </w:pPr>
      <w:r w:rsidRPr="004C4C78">
        <w:rPr>
          <w:noProof/>
        </w:rPr>
        <w:t>Shackling of parties in civil or criminal trials is disfavored absent a specific finding that such restraints are necessary</w:t>
      </w:r>
      <w:r w:rsidR="00197A98" w:rsidRPr="004C4C78">
        <w:rPr>
          <w:noProof/>
        </w:rPr>
        <w:t xml:space="preserve">. </w:t>
      </w:r>
      <w:r w:rsidR="00197A98" w:rsidRPr="004C4C78">
        <w:rPr>
          <w:i/>
          <w:noProof/>
        </w:rPr>
        <w:t>See Deck v. Missouri</w:t>
      </w:r>
      <w:r w:rsidR="00197A98" w:rsidRPr="004C4C78">
        <w:rPr>
          <w:noProof/>
        </w:rPr>
        <w:t>, 544 U.S. 622</w:t>
      </w:r>
      <w:r w:rsidR="00626230" w:rsidRPr="004C4C78">
        <w:rPr>
          <w:noProof/>
        </w:rPr>
        <w:t xml:space="preserve"> </w:t>
      </w:r>
      <w:r w:rsidR="00197A98" w:rsidRPr="004C4C78">
        <w:rPr>
          <w:noProof/>
        </w:rPr>
        <w:t>(2005)</w:t>
      </w:r>
      <w:r w:rsidR="00626230" w:rsidRPr="004C4C78">
        <w:rPr>
          <w:noProof/>
        </w:rPr>
        <w:t xml:space="preserve">; </w:t>
      </w:r>
      <w:r w:rsidR="00197A98" w:rsidRPr="004C4C78">
        <w:rPr>
          <w:noProof/>
        </w:rPr>
        <w:t xml:space="preserve"> </w:t>
      </w:r>
      <w:r w:rsidR="00DE39B2" w:rsidRPr="004C4C78">
        <w:rPr>
          <w:i/>
          <w:noProof/>
        </w:rPr>
        <w:t>Davidson v. Riley</w:t>
      </w:r>
      <w:r w:rsidR="00DE39B2" w:rsidRPr="004C4C78">
        <w:rPr>
          <w:noProof/>
        </w:rPr>
        <w:t>, 44 F.3d 1118 (2d Cir. 1995)</w:t>
      </w:r>
      <w:r w:rsidR="009D3269" w:rsidRPr="004C4C78">
        <w:rPr>
          <w:noProof/>
        </w:rPr>
        <w:t xml:space="preserve">. </w:t>
      </w:r>
      <w:r w:rsidRPr="004C4C78">
        <w:rPr>
          <w:noProof/>
        </w:rPr>
        <w:t xml:space="preserve">This rule has longstanding roots in common law. </w:t>
      </w:r>
      <w:r w:rsidRPr="004C4C78">
        <w:rPr>
          <w:i/>
          <w:noProof/>
        </w:rPr>
        <w:t>See</w:t>
      </w:r>
      <w:r w:rsidRPr="004C4C78">
        <w:rPr>
          <w:noProof/>
        </w:rPr>
        <w:t xml:space="preserve"> </w:t>
      </w:r>
      <w:r w:rsidRPr="004C4C78">
        <w:rPr>
          <w:i/>
          <w:noProof/>
        </w:rPr>
        <w:t>Deck</w:t>
      </w:r>
      <w:r w:rsidRPr="004C4C78">
        <w:rPr>
          <w:noProof/>
        </w:rPr>
        <w:t xml:space="preserve">, 544 U.S. at 626–27. </w:t>
      </w:r>
      <w:r w:rsidR="009D3269" w:rsidRPr="004C4C78">
        <w:rPr>
          <w:noProof/>
        </w:rPr>
        <w:t>The</w:t>
      </w:r>
      <w:r w:rsidR="00CB633E" w:rsidRPr="004C4C78">
        <w:rPr>
          <w:noProof/>
        </w:rPr>
        <w:t>re are two primary justifications for this rule. T</w:t>
      </w:r>
      <w:r w:rsidR="009D3269" w:rsidRPr="004C4C78">
        <w:rPr>
          <w:noProof/>
        </w:rPr>
        <w:t xml:space="preserve">he first </w:t>
      </w:r>
      <w:r w:rsidR="00CB633E" w:rsidRPr="004C4C78">
        <w:rPr>
          <w:noProof/>
        </w:rPr>
        <w:t xml:space="preserve">justification </w:t>
      </w:r>
      <w:r w:rsidR="00A21A59" w:rsidRPr="004C4C78">
        <w:rPr>
          <w:noProof/>
        </w:rPr>
        <w:t>is so</w:t>
      </w:r>
      <w:r w:rsidR="002F3D80" w:rsidRPr="004C4C78">
        <w:rPr>
          <w:noProof/>
        </w:rPr>
        <w:t xml:space="preserve"> that the defendant’</w:t>
      </w:r>
      <w:r w:rsidR="00850292" w:rsidRPr="004C4C78">
        <w:rPr>
          <w:noProof/>
        </w:rPr>
        <w:t>s</w:t>
      </w:r>
      <w:r w:rsidR="002F3D80" w:rsidRPr="004C4C78">
        <w:rPr>
          <w:noProof/>
        </w:rPr>
        <w:t xml:space="preserve"> mental </w:t>
      </w:r>
      <w:r w:rsidR="00CF703B" w:rsidRPr="004C4C78">
        <w:rPr>
          <w:noProof/>
        </w:rPr>
        <w:t xml:space="preserve">and cognitive </w:t>
      </w:r>
      <w:r w:rsidR="002F3D80" w:rsidRPr="004C4C78">
        <w:rPr>
          <w:noProof/>
        </w:rPr>
        <w:t xml:space="preserve">faculties </w:t>
      </w:r>
      <w:r w:rsidR="001747F4" w:rsidRPr="004C4C78">
        <w:rPr>
          <w:noProof/>
        </w:rPr>
        <w:t>will not diminish in light of the pain or discomfort they may feel while in restraints</w:t>
      </w:r>
      <w:r w:rsidR="002F3D80" w:rsidRPr="004C4C78">
        <w:rPr>
          <w:noProof/>
        </w:rPr>
        <w:t xml:space="preserve">. </w:t>
      </w:r>
      <w:r w:rsidR="00560690" w:rsidRPr="004C4C78">
        <w:rPr>
          <w:i/>
          <w:noProof/>
        </w:rPr>
        <w:t>Id</w:t>
      </w:r>
      <w:r w:rsidR="008F3413" w:rsidRPr="004C4C78">
        <w:rPr>
          <w:noProof/>
        </w:rPr>
        <w:t>. (internal citations omitted) (</w:t>
      </w:r>
      <w:r w:rsidR="008230E6" w:rsidRPr="004C4C78">
        <w:rPr>
          <w:noProof/>
        </w:rPr>
        <w:t>explaining that defen</w:t>
      </w:r>
      <w:r w:rsidR="00CF703B" w:rsidRPr="004C4C78">
        <w:rPr>
          <w:noProof/>
        </w:rPr>
        <w:t>d</w:t>
      </w:r>
      <w:r w:rsidR="008230E6" w:rsidRPr="004C4C78">
        <w:rPr>
          <w:noProof/>
        </w:rPr>
        <w:t>a</w:t>
      </w:r>
      <w:r w:rsidR="00CF703B" w:rsidRPr="004C4C78">
        <w:rPr>
          <w:noProof/>
        </w:rPr>
        <w:t>n</w:t>
      </w:r>
      <w:r w:rsidR="008230E6" w:rsidRPr="004C4C78">
        <w:rPr>
          <w:noProof/>
        </w:rPr>
        <w:t>ts should not be constrainted “ so that their pain shall not take away any manner of reason” and allow them to testify with “free will”).</w:t>
      </w:r>
      <w:r w:rsidR="00322BE6" w:rsidRPr="004C4C78">
        <w:rPr>
          <w:noProof/>
        </w:rPr>
        <w:t xml:space="preserve"> </w:t>
      </w:r>
      <w:r w:rsidR="00CF703B" w:rsidRPr="004C4C78">
        <w:rPr>
          <w:noProof/>
        </w:rPr>
        <w:t xml:space="preserve"> There is abundant social science literature demonstrating the deleterious effects </w:t>
      </w:r>
      <w:r w:rsidR="00850292" w:rsidRPr="004C4C78">
        <w:rPr>
          <w:noProof/>
        </w:rPr>
        <w:t>of physical restraints in other contexts</w:t>
      </w:r>
      <w:r w:rsidR="00CF703B" w:rsidRPr="004C4C78">
        <w:rPr>
          <w:noProof/>
        </w:rPr>
        <w:t xml:space="preserve">. </w:t>
      </w:r>
      <w:r w:rsidR="00CF703B" w:rsidRPr="004C4C78">
        <w:rPr>
          <w:i/>
          <w:noProof/>
        </w:rPr>
        <w:t xml:space="preserve">See, e.g., </w:t>
      </w:r>
      <w:r w:rsidR="00CF703B" w:rsidRPr="004C4C78">
        <w:rPr>
          <w:noProof/>
        </w:rPr>
        <w:t>Nicholas G. Castle,</w:t>
      </w:r>
      <w:r w:rsidR="00CF703B" w:rsidRPr="004C4C78">
        <w:rPr>
          <w:i/>
          <w:noProof/>
        </w:rPr>
        <w:t xml:space="preserve"> Mental Health Outcomes and Physical Restraint Use in Nursing Homes</w:t>
      </w:r>
      <w:r w:rsidR="00CF703B" w:rsidRPr="004C4C78">
        <w:rPr>
          <w:noProof/>
        </w:rPr>
        <w:t xml:space="preserve">, </w:t>
      </w:r>
      <w:r w:rsidR="00AA5FD6" w:rsidRPr="004C4C78">
        <w:rPr>
          <w:noProof/>
        </w:rPr>
        <w:t xml:space="preserve">33 Admin. Pol’y Mental Health &amp; Mental Health Servs. Res. 696 (2004) </w:t>
      </w:r>
      <w:r w:rsidR="00CF703B" w:rsidRPr="004C4C78">
        <w:rPr>
          <w:noProof/>
        </w:rPr>
        <w:t xml:space="preserve">(showing that nursing home residents subject to physical restraints are more likely to suffer from cognitive impairment and depression). </w:t>
      </w:r>
      <w:r w:rsidR="00A21A59" w:rsidRPr="004C4C78">
        <w:rPr>
          <w:noProof/>
        </w:rPr>
        <w:t xml:space="preserve"> This is no less true in the immigration context. </w:t>
      </w:r>
      <w:r w:rsidR="00A21A59" w:rsidRPr="004C4C78">
        <w:rPr>
          <w:i/>
          <w:noProof/>
        </w:rPr>
        <w:t xml:space="preserve">See </w:t>
      </w:r>
      <w:r w:rsidR="00A21A59" w:rsidRPr="004C4C78">
        <w:rPr>
          <w:noProof/>
        </w:rPr>
        <w:t>Complaint</w:t>
      </w:r>
      <w:r w:rsidR="00263B63">
        <w:rPr>
          <w:noProof/>
        </w:rPr>
        <w:t xml:space="preserve"> at 5</w:t>
      </w:r>
      <w:r w:rsidR="00A21A59" w:rsidRPr="004C4C78">
        <w:rPr>
          <w:noProof/>
        </w:rPr>
        <w:t xml:space="preserve">, </w:t>
      </w:r>
      <w:r w:rsidR="00303C0A" w:rsidRPr="004C4C78">
        <w:rPr>
          <w:i/>
          <w:noProof/>
        </w:rPr>
        <w:t xml:space="preserve">Abado-Peixoto v. Dep’t of </w:t>
      </w:r>
      <w:r w:rsidR="00DE39B2" w:rsidRPr="004C4C78">
        <w:rPr>
          <w:i/>
          <w:noProof/>
        </w:rPr>
        <w:t>Homeland Securit</w:t>
      </w:r>
      <w:r w:rsidR="00303C0A" w:rsidRPr="004C4C78">
        <w:rPr>
          <w:i/>
          <w:noProof/>
        </w:rPr>
        <w:t>y</w:t>
      </w:r>
      <w:r w:rsidR="00303C0A" w:rsidRPr="004C4C78">
        <w:rPr>
          <w:noProof/>
        </w:rPr>
        <w:t xml:space="preserve">, No. CV-11-1001,  (N.D. Cal. </w:t>
      </w:r>
      <w:r w:rsidR="00303C0A" w:rsidRPr="004C4C78">
        <w:rPr>
          <w:noProof/>
        </w:rPr>
        <w:lastRenderedPageBreak/>
        <w:t xml:space="preserve">2011) (describing swollen legs and mental retraumatization of a domestic violence survivor who was shackled during her immigration proceedings). </w:t>
      </w:r>
    </w:p>
    <w:p w14:paraId="5BBE5F17" w14:textId="39305050" w:rsidR="000C7AD3" w:rsidRPr="004C4C78" w:rsidRDefault="00850292" w:rsidP="00F979B6">
      <w:pPr>
        <w:spacing w:line="480" w:lineRule="auto"/>
        <w:ind w:left="360" w:firstLine="360"/>
        <w:rPr>
          <w:noProof/>
        </w:rPr>
      </w:pPr>
      <w:r w:rsidRPr="004C4C78">
        <w:rPr>
          <w:noProof/>
        </w:rPr>
        <w:t xml:space="preserve">The second justification for the rule against physical restraints is the </w:t>
      </w:r>
      <w:r w:rsidR="00322BE6" w:rsidRPr="00CE6CC3">
        <w:rPr>
          <w:noProof/>
        </w:rPr>
        <w:t>prejudical</w:t>
      </w:r>
      <w:r w:rsidR="00322BE6" w:rsidRPr="004C4C78">
        <w:rPr>
          <w:i/>
          <w:noProof/>
        </w:rPr>
        <w:t xml:space="preserve"> </w:t>
      </w:r>
      <w:r w:rsidR="00322BE6" w:rsidRPr="004C4C78">
        <w:rPr>
          <w:noProof/>
        </w:rPr>
        <w:t xml:space="preserve">effect </w:t>
      </w:r>
      <w:r w:rsidR="009013E3">
        <w:rPr>
          <w:noProof/>
        </w:rPr>
        <w:t xml:space="preserve">that </w:t>
      </w:r>
      <w:r w:rsidR="00322BE6" w:rsidRPr="004C4C78">
        <w:rPr>
          <w:noProof/>
        </w:rPr>
        <w:t>use of visible restraints has on the factfinder, the judge. Both the Supreme Court and the Second Circuit recognize t</w:t>
      </w:r>
      <w:r w:rsidR="00B9791C" w:rsidRPr="004C4C78">
        <w:rPr>
          <w:noProof/>
        </w:rPr>
        <w:t xml:space="preserve">hat visible schackles can have a prejudicial effect on the proceedings. </w:t>
      </w:r>
      <w:r w:rsidR="00B9791C" w:rsidRPr="004C4C78">
        <w:rPr>
          <w:i/>
          <w:noProof/>
        </w:rPr>
        <w:t>See Holbrook v. Flynn</w:t>
      </w:r>
      <w:r w:rsidR="00B9791C" w:rsidRPr="004C4C78">
        <w:rPr>
          <w:noProof/>
        </w:rPr>
        <w:t xml:space="preserve">, 475 U.S. 560, 569 (1986) (describing shackles as as “inherently prejudicial”); </w:t>
      </w:r>
      <w:r w:rsidR="00163519" w:rsidRPr="004C4C78">
        <w:rPr>
          <w:i/>
          <w:noProof/>
        </w:rPr>
        <w:t>Davidson v. Riley</w:t>
      </w:r>
      <w:r w:rsidR="00163519" w:rsidRPr="004C4C78">
        <w:rPr>
          <w:noProof/>
        </w:rPr>
        <w:t>, 44 F.3d 1118, 1122 (2d Cir. 1995)</w:t>
      </w:r>
      <w:r w:rsidR="00F52E18" w:rsidRPr="004C4C78">
        <w:rPr>
          <w:noProof/>
        </w:rPr>
        <w:t xml:space="preserve"> (“Forcing a party to appear at jury trial in manacles and others sh</w:t>
      </w:r>
      <w:r w:rsidR="00257A14" w:rsidRPr="004C4C78">
        <w:rPr>
          <w:noProof/>
        </w:rPr>
        <w:t>ac</w:t>
      </w:r>
      <w:r w:rsidR="00F52E18" w:rsidRPr="004C4C78">
        <w:rPr>
          <w:noProof/>
        </w:rPr>
        <w:t xml:space="preserve">kles may well deprive him of due process . . . ). </w:t>
      </w:r>
      <w:r w:rsidR="00B9791C" w:rsidRPr="004C4C78">
        <w:rPr>
          <w:noProof/>
        </w:rPr>
        <w:t xml:space="preserve"> </w:t>
      </w:r>
      <w:r w:rsidR="00197A98" w:rsidRPr="004C4C78">
        <w:rPr>
          <w:noProof/>
        </w:rPr>
        <w:t xml:space="preserve"> </w:t>
      </w:r>
      <w:r w:rsidR="004231FD" w:rsidRPr="004C4C78">
        <w:rPr>
          <w:noProof/>
        </w:rPr>
        <w:t xml:space="preserve">In </w:t>
      </w:r>
      <w:r w:rsidR="006B1EA9" w:rsidRPr="004C4C78">
        <w:rPr>
          <w:noProof/>
        </w:rPr>
        <w:t xml:space="preserve">both civil and criminal courts, judges permit the use of restraints on a witness or litigant after an </w:t>
      </w:r>
      <w:r w:rsidR="006B1EA9" w:rsidRPr="004C4C78">
        <w:rPr>
          <w:i/>
          <w:noProof/>
        </w:rPr>
        <w:t>individualized</w:t>
      </w:r>
      <w:r w:rsidR="006B1EA9" w:rsidRPr="004C4C78">
        <w:rPr>
          <w:noProof/>
        </w:rPr>
        <w:t xml:space="preserve"> determination that the witness or litigant requires the use of such restraints. </w:t>
      </w:r>
      <w:r w:rsidR="00012B27" w:rsidRPr="004C4C78">
        <w:rPr>
          <w:i/>
          <w:noProof/>
        </w:rPr>
        <w:t>See Davidson</w:t>
      </w:r>
      <w:r w:rsidR="000A7B5D" w:rsidRPr="004C4C78">
        <w:rPr>
          <w:noProof/>
        </w:rPr>
        <w:t xml:space="preserve">, 44 F.3d </w:t>
      </w:r>
      <w:r w:rsidR="00012B27" w:rsidRPr="004C4C78">
        <w:rPr>
          <w:noProof/>
        </w:rPr>
        <w:t xml:space="preserve"> </w:t>
      </w:r>
      <w:r w:rsidR="000A7B5D" w:rsidRPr="004C4C78">
        <w:rPr>
          <w:noProof/>
        </w:rPr>
        <w:t xml:space="preserve">at 1122. Immigration courts are also beginning to </w:t>
      </w:r>
      <w:r w:rsidR="00257A14" w:rsidRPr="004C4C78">
        <w:rPr>
          <w:noProof/>
        </w:rPr>
        <w:t xml:space="preserve">recognize the importance of </w:t>
      </w:r>
      <w:r w:rsidR="000A7B5D" w:rsidRPr="004C4C78">
        <w:rPr>
          <w:noProof/>
        </w:rPr>
        <w:t>an individualized determination as a matter of due process. In 2014, the Department of Homeland Security signed a s</w:t>
      </w:r>
      <w:r w:rsidR="00AD2616" w:rsidRPr="004C4C78">
        <w:rPr>
          <w:noProof/>
        </w:rPr>
        <w:t xml:space="preserve">ettlement agreement agreeing </w:t>
      </w:r>
      <w:r w:rsidR="000A7B5D" w:rsidRPr="004C4C78">
        <w:rPr>
          <w:noProof/>
        </w:rPr>
        <w:t>not to shackle immigration respondents during bond and merits hearings absent specific findings of danger, and to allow for respondents to be unrestrained during master calendar hearings if they indicate that they suffer from a health condition (including mental health conditions) that would make use of restraints inhuman</w:t>
      </w:r>
      <w:r w:rsidR="00AD2616" w:rsidRPr="004C4C78">
        <w:rPr>
          <w:noProof/>
        </w:rPr>
        <w:t>e</w:t>
      </w:r>
      <w:r w:rsidR="000A7B5D" w:rsidRPr="004C4C78">
        <w:rPr>
          <w:noProof/>
        </w:rPr>
        <w:t xml:space="preserve">. </w:t>
      </w:r>
      <w:r w:rsidR="000A7B5D" w:rsidRPr="004C4C78">
        <w:rPr>
          <w:i/>
          <w:noProof/>
        </w:rPr>
        <w:t xml:space="preserve">See </w:t>
      </w:r>
      <w:r w:rsidR="000A7B5D" w:rsidRPr="004C4C78">
        <w:rPr>
          <w:noProof/>
        </w:rPr>
        <w:t>Notice of Proposed Class Action Settlement</w:t>
      </w:r>
      <w:r w:rsidR="00AD2616" w:rsidRPr="004C4C78">
        <w:rPr>
          <w:i/>
          <w:noProof/>
        </w:rPr>
        <w:t xml:space="preserve"> </w:t>
      </w:r>
      <w:r w:rsidR="00AD2616" w:rsidRPr="004C4C78">
        <w:rPr>
          <w:noProof/>
        </w:rPr>
        <w:t>at 3–4</w:t>
      </w:r>
      <w:r w:rsidR="000A7B5D" w:rsidRPr="004C4C78">
        <w:rPr>
          <w:noProof/>
        </w:rPr>
        <w:t xml:space="preserve">, </w:t>
      </w:r>
      <w:r w:rsidR="00AD2616" w:rsidRPr="004C4C78">
        <w:rPr>
          <w:i/>
          <w:noProof/>
        </w:rPr>
        <w:t>Abadia-Peixoto v. U.S. Dep’t Homeland Sec’y</w:t>
      </w:r>
      <w:r w:rsidR="00AD2616" w:rsidRPr="004C4C78">
        <w:rPr>
          <w:noProof/>
        </w:rPr>
        <w:t>, No. 3:11-cv-4001 RS</w:t>
      </w:r>
      <w:r w:rsidR="000A7B5D" w:rsidRPr="004C4C78">
        <w:rPr>
          <w:noProof/>
        </w:rPr>
        <w:t xml:space="preserve"> (N. D. Cal. 2014).</w:t>
      </w:r>
    </w:p>
    <w:p w14:paraId="3152CD2C" w14:textId="77CD92F7" w:rsidR="009F3C25" w:rsidRDefault="009F3C25" w:rsidP="00F979B6">
      <w:pPr>
        <w:spacing w:line="480" w:lineRule="auto"/>
        <w:ind w:left="360" w:firstLine="360"/>
        <w:rPr>
          <w:noProof/>
        </w:rPr>
      </w:pPr>
      <w:r w:rsidRPr="004C4C78">
        <w:rPr>
          <w:noProof/>
        </w:rPr>
        <w:t xml:space="preserve">For people such as </w:t>
      </w:r>
      <w:r w:rsidRPr="004C4C78">
        <w:rPr>
          <w:noProof/>
          <w:highlight w:val="yellow"/>
        </w:rPr>
        <w:t>CLIENT</w:t>
      </w:r>
      <w:r w:rsidRPr="004C4C78">
        <w:rPr>
          <w:noProof/>
        </w:rPr>
        <w:t xml:space="preserve">, who are already </w:t>
      </w:r>
      <w:r w:rsidR="00AA726D" w:rsidRPr="004C4C78">
        <w:rPr>
          <w:noProof/>
        </w:rPr>
        <w:t xml:space="preserve">susceptible to anxiety and retraumatization, shackling only exacerabates their anxiety and may debilitate their cogntive faculties. The Court should follow </w:t>
      </w:r>
      <w:r w:rsidR="00AD2616" w:rsidRPr="004C4C78">
        <w:rPr>
          <w:noProof/>
        </w:rPr>
        <w:t xml:space="preserve">the </w:t>
      </w:r>
      <w:r w:rsidR="00AA726D" w:rsidRPr="004C4C78">
        <w:rPr>
          <w:noProof/>
        </w:rPr>
        <w:t xml:space="preserve">protocol </w:t>
      </w:r>
      <w:r w:rsidR="00AD2616" w:rsidRPr="004C4C78">
        <w:rPr>
          <w:noProof/>
        </w:rPr>
        <w:t xml:space="preserve">already used </w:t>
      </w:r>
      <w:r w:rsidR="00AA726D" w:rsidRPr="004C4C78">
        <w:rPr>
          <w:noProof/>
        </w:rPr>
        <w:t>in both civil and criminal court</w:t>
      </w:r>
      <w:r w:rsidR="004E581E" w:rsidRPr="004C4C78">
        <w:rPr>
          <w:noProof/>
        </w:rPr>
        <w:t xml:space="preserve">s </w:t>
      </w:r>
      <w:r w:rsidR="00AA726D" w:rsidRPr="004C4C78">
        <w:rPr>
          <w:noProof/>
        </w:rPr>
        <w:t xml:space="preserve">and not </w:t>
      </w:r>
      <w:r w:rsidR="00AA726D" w:rsidRPr="004C4C78">
        <w:rPr>
          <w:noProof/>
        </w:rPr>
        <w:lastRenderedPageBreak/>
        <w:t xml:space="preserve">permit shackling in courts absent </w:t>
      </w:r>
      <w:r w:rsidR="00B53A7E" w:rsidRPr="004C4C78">
        <w:rPr>
          <w:noProof/>
        </w:rPr>
        <w:t>a particularized, individualized determination that such restraints are neces</w:t>
      </w:r>
      <w:r w:rsidR="00AA726D" w:rsidRPr="004C4C78">
        <w:rPr>
          <w:noProof/>
        </w:rPr>
        <w:t>s</w:t>
      </w:r>
      <w:r w:rsidR="00B53A7E" w:rsidRPr="004C4C78">
        <w:rPr>
          <w:noProof/>
        </w:rPr>
        <w:t>ary.</w:t>
      </w:r>
    </w:p>
    <w:p w14:paraId="248C0ACA" w14:textId="0B8A7AA5" w:rsidR="00C82ABD" w:rsidRDefault="00C82ABD" w:rsidP="00F979B6">
      <w:pPr>
        <w:spacing w:line="480" w:lineRule="auto"/>
        <w:ind w:left="360" w:firstLine="360"/>
        <w:rPr>
          <w:noProof/>
        </w:rPr>
      </w:pPr>
    </w:p>
    <w:p w14:paraId="5A8FD286" w14:textId="77777777" w:rsidR="00C82ABD" w:rsidRPr="004C4C78" w:rsidRDefault="00C82ABD" w:rsidP="00F979B6">
      <w:pPr>
        <w:spacing w:line="480" w:lineRule="auto"/>
        <w:ind w:left="360" w:firstLine="360"/>
        <w:rPr>
          <w:noProof/>
        </w:rPr>
      </w:pPr>
    </w:p>
    <w:p w14:paraId="5095E654" w14:textId="1DBBD390" w:rsidR="00A75E0F" w:rsidRPr="0080717C" w:rsidRDefault="00A75E0F" w:rsidP="0080717C">
      <w:pPr>
        <w:pStyle w:val="ListParagraph"/>
        <w:numPr>
          <w:ilvl w:val="0"/>
          <w:numId w:val="12"/>
        </w:numPr>
        <w:spacing w:line="480" w:lineRule="auto"/>
        <w:rPr>
          <w:rFonts w:ascii="Times New Roman" w:hAnsi="Times New Roman" w:cs="Times New Roman"/>
          <w:b/>
          <w:sz w:val="24"/>
          <w:szCs w:val="24"/>
        </w:rPr>
      </w:pPr>
      <w:r w:rsidRPr="0080717C">
        <w:rPr>
          <w:rFonts w:ascii="Times New Roman" w:hAnsi="Times New Roman" w:cs="Times New Roman"/>
          <w:b/>
          <w:sz w:val="24"/>
          <w:szCs w:val="24"/>
        </w:rPr>
        <w:t xml:space="preserve">When Evaluating </w:t>
      </w:r>
      <w:r w:rsidRPr="0080717C">
        <w:rPr>
          <w:rFonts w:ascii="Times New Roman" w:hAnsi="Times New Roman" w:cs="Times New Roman"/>
          <w:b/>
          <w:sz w:val="24"/>
          <w:szCs w:val="24"/>
          <w:highlight w:val="yellow"/>
        </w:rPr>
        <w:t>CLIENT</w:t>
      </w:r>
      <w:r w:rsidRPr="0080717C">
        <w:rPr>
          <w:rFonts w:ascii="Times New Roman" w:hAnsi="Times New Roman" w:cs="Times New Roman"/>
          <w:b/>
          <w:sz w:val="24"/>
          <w:szCs w:val="24"/>
        </w:rPr>
        <w:t xml:space="preserve">’s Testimony as a Whole for Credibility and Other Discretionary Determinations, the Court Must Consider </w:t>
      </w:r>
      <w:r w:rsidRPr="0080717C">
        <w:rPr>
          <w:rFonts w:ascii="Times New Roman" w:hAnsi="Times New Roman" w:cs="Times New Roman"/>
          <w:b/>
          <w:sz w:val="24"/>
          <w:szCs w:val="24"/>
          <w:highlight w:val="yellow"/>
        </w:rPr>
        <w:t>CLIENT</w:t>
      </w:r>
      <w:r w:rsidRPr="0080717C">
        <w:rPr>
          <w:rFonts w:ascii="Times New Roman" w:hAnsi="Times New Roman" w:cs="Times New Roman"/>
          <w:b/>
          <w:sz w:val="24"/>
          <w:szCs w:val="24"/>
        </w:rPr>
        <w:t>’s Mental Health Limitations</w:t>
      </w:r>
    </w:p>
    <w:p w14:paraId="21B1FA16" w14:textId="636914D1" w:rsidR="00C43680" w:rsidRPr="004C4C78" w:rsidRDefault="00A75E0F" w:rsidP="00503DFD">
      <w:pPr>
        <w:spacing w:line="480" w:lineRule="auto"/>
        <w:ind w:left="360" w:firstLine="360"/>
      </w:pPr>
      <w:r w:rsidRPr="004C4C78">
        <w:t xml:space="preserve">When assessing </w:t>
      </w:r>
      <w:r w:rsidRPr="004C4C78">
        <w:rPr>
          <w:highlight w:val="yellow"/>
        </w:rPr>
        <w:t>CLIENT’s</w:t>
      </w:r>
      <w:r w:rsidRPr="004C4C78">
        <w:t xml:space="preserve"> testimony, the Court must consider </w:t>
      </w:r>
      <w:r w:rsidRPr="004C4C78">
        <w:rPr>
          <w:highlight w:val="yellow"/>
        </w:rPr>
        <w:t>CLIENT</w:t>
      </w:r>
      <w:r w:rsidRPr="004C4C78">
        <w:t xml:space="preserve">’s mental health conditions in its assessments. This includes factoring </w:t>
      </w:r>
      <w:r w:rsidR="004E581E" w:rsidRPr="004C4C78">
        <w:t xml:space="preserve">in </w:t>
      </w:r>
      <w:r w:rsidRPr="004C4C78">
        <w:t xml:space="preserve">CLIENT’s mental health conditions in the Court’s “totality of the circumstances” analysis, and taking into account </w:t>
      </w:r>
      <w:r w:rsidRPr="004C4C78">
        <w:rPr>
          <w:highlight w:val="yellow"/>
        </w:rPr>
        <w:t>CLIENT’s</w:t>
      </w:r>
      <w:r w:rsidRPr="004C4C78">
        <w:t xml:space="preserve"> mental health conditions when assessing discretionary factors like </w:t>
      </w:r>
      <w:r w:rsidRPr="004C4C78">
        <w:rPr>
          <w:highlight w:val="yellow"/>
        </w:rPr>
        <w:t>CLIENT’s</w:t>
      </w:r>
      <w:r w:rsidRPr="004C4C78">
        <w:t xml:space="preserve"> rehabilitation or expressions of remorse. </w:t>
      </w:r>
    </w:p>
    <w:p w14:paraId="43D3E21A" w14:textId="77777777" w:rsidR="00014169" w:rsidRPr="004C4C78" w:rsidRDefault="0069101B" w:rsidP="00503DFD">
      <w:pPr>
        <w:spacing w:line="480" w:lineRule="auto"/>
        <w:ind w:left="360" w:firstLine="360"/>
      </w:pPr>
      <w:r w:rsidRPr="004C4C78">
        <w:t>The Immigration &amp; Nationality Act requires the Court to consider the “totality of the circumstances” when evaluating a petitioner’s credibility. INA § 208(b</w:t>
      </w:r>
      <w:proofErr w:type="gramStart"/>
      <w:r w:rsidRPr="004C4C78">
        <w:t>)(</w:t>
      </w:r>
      <w:proofErr w:type="gramEnd"/>
      <w:r w:rsidRPr="004C4C78">
        <w:t xml:space="preserve">1)(B)(iii) (“Considering the totality of the circumstances, and all relevant factors, a trier of fact may base a credibility determination on [list of factors].”). When evaluating </w:t>
      </w:r>
      <w:r w:rsidRPr="004C4C78">
        <w:rPr>
          <w:highlight w:val="yellow"/>
        </w:rPr>
        <w:t>CLIENT’S</w:t>
      </w:r>
      <w:r w:rsidRPr="004C4C78">
        <w:t xml:space="preserve"> credibility, </w:t>
      </w:r>
      <w:r w:rsidRPr="004C4C78">
        <w:rPr>
          <w:noProof/>
        </w:rPr>
        <w:t xml:space="preserve">the Court must include </w:t>
      </w:r>
      <w:r w:rsidRPr="004C4C78">
        <w:rPr>
          <w:noProof/>
          <w:highlight w:val="yellow"/>
        </w:rPr>
        <w:t>CLIENT’s</w:t>
      </w:r>
      <w:r w:rsidRPr="004C4C78">
        <w:rPr>
          <w:noProof/>
        </w:rPr>
        <w:t xml:space="preserve"> mental health conditions in its “totality of the circumstances” analysis. </w:t>
      </w:r>
    </w:p>
    <w:p w14:paraId="3295DD8E" w14:textId="7ED9B480" w:rsidR="001D53E7" w:rsidRPr="004C4C78" w:rsidRDefault="004E6106">
      <w:pPr>
        <w:spacing w:line="480" w:lineRule="auto"/>
        <w:ind w:left="360" w:firstLine="360"/>
        <w:rPr>
          <w:rStyle w:val="CommentReference"/>
          <w:noProof/>
          <w:sz w:val="24"/>
          <w:szCs w:val="24"/>
        </w:rPr>
      </w:pPr>
      <w:r w:rsidRPr="004C4C78">
        <w:rPr>
          <w:noProof/>
        </w:rPr>
        <w:t xml:space="preserve">The BIA </w:t>
      </w:r>
      <w:r w:rsidR="00006596" w:rsidRPr="004C4C78">
        <w:rPr>
          <w:noProof/>
        </w:rPr>
        <w:t xml:space="preserve">requires this </w:t>
      </w:r>
      <w:r w:rsidRPr="004C4C78">
        <w:rPr>
          <w:noProof/>
        </w:rPr>
        <w:t xml:space="preserve">in </w:t>
      </w:r>
      <w:r w:rsidR="0069101B" w:rsidRPr="004C4C78">
        <w:rPr>
          <w:i/>
          <w:noProof/>
        </w:rPr>
        <w:t>Matter of J-R-R-A</w:t>
      </w:r>
      <w:r w:rsidR="00CE6CC3">
        <w:rPr>
          <w:noProof/>
        </w:rPr>
        <w:t xml:space="preserve">, </w:t>
      </w:r>
      <w:r w:rsidR="0069101B" w:rsidRPr="004C4C78">
        <w:rPr>
          <w:noProof/>
        </w:rPr>
        <w:t>26 I. &amp; N. Dec. 609,</w:t>
      </w:r>
      <w:r w:rsidR="00451775" w:rsidRPr="004C4C78">
        <w:rPr>
          <w:noProof/>
        </w:rPr>
        <w:t xml:space="preserve"> </w:t>
      </w:r>
      <w:r w:rsidR="0069101B" w:rsidRPr="004C4C78">
        <w:rPr>
          <w:noProof/>
        </w:rPr>
        <w:t>612 (BIA 2015)</w:t>
      </w:r>
      <w:r w:rsidRPr="004C4C78">
        <w:rPr>
          <w:rStyle w:val="CommentReference"/>
          <w:rFonts w:eastAsiaTheme="minorEastAsia"/>
          <w:sz w:val="24"/>
          <w:szCs w:val="24"/>
        </w:rPr>
        <w:t xml:space="preserve">. In </w:t>
      </w:r>
      <w:r w:rsidRPr="004C4C78">
        <w:rPr>
          <w:rStyle w:val="CommentReference"/>
          <w:rFonts w:eastAsiaTheme="minorEastAsia"/>
          <w:i/>
          <w:sz w:val="24"/>
          <w:szCs w:val="24"/>
        </w:rPr>
        <w:t>J-R-R-A</w:t>
      </w:r>
      <w:r w:rsidRPr="004C4C78">
        <w:rPr>
          <w:rStyle w:val="CommentReference"/>
          <w:rFonts w:eastAsiaTheme="minorEastAsia"/>
          <w:sz w:val="24"/>
          <w:szCs w:val="24"/>
        </w:rPr>
        <w:t>, the Board remanded an IJ for failing to consider the respondent’s cognitive limitations in his</w:t>
      </w:r>
      <w:r w:rsidR="00335FDE" w:rsidRPr="004C4C78">
        <w:rPr>
          <w:rStyle w:val="CommentReference"/>
          <w:rFonts w:eastAsiaTheme="minorEastAsia"/>
          <w:sz w:val="24"/>
          <w:szCs w:val="24"/>
        </w:rPr>
        <w:t xml:space="preserve"> find</w:t>
      </w:r>
      <w:r w:rsidRPr="004C4C78">
        <w:rPr>
          <w:rStyle w:val="CommentReference"/>
          <w:rFonts w:eastAsiaTheme="minorEastAsia"/>
          <w:sz w:val="24"/>
          <w:szCs w:val="24"/>
        </w:rPr>
        <w:t>ing</w:t>
      </w:r>
      <w:r w:rsidR="00335FDE" w:rsidRPr="004C4C78">
        <w:rPr>
          <w:rStyle w:val="CommentReference"/>
          <w:rFonts w:eastAsiaTheme="minorEastAsia"/>
          <w:sz w:val="24"/>
          <w:szCs w:val="24"/>
        </w:rPr>
        <w:t xml:space="preserve"> </w:t>
      </w:r>
      <w:r w:rsidR="00451775" w:rsidRPr="004C4C78">
        <w:rPr>
          <w:rStyle w:val="CommentReference"/>
          <w:rFonts w:eastAsiaTheme="minorEastAsia"/>
          <w:sz w:val="24"/>
          <w:szCs w:val="24"/>
        </w:rPr>
        <w:t xml:space="preserve">that the respondent’s testimony regarding his asylum claim was not credible. </w:t>
      </w:r>
      <w:r w:rsidR="00451775" w:rsidRPr="004C4C78">
        <w:rPr>
          <w:rStyle w:val="CommentReference"/>
          <w:rFonts w:eastAsiaTheme="minorEastAsia"/>
          <w:i/>
          <w:sz w:val="24"/>
          <w:szCs w:val="24"/>
        </w:rPr>
        <w:t>Id</w:t>
      </w:r>
      <w:r w:rsidR="00451775" w:rsidRPr="004C4C78">
        <w:rPr>
          <w:rStyle w:val="CommentReference"/>
          <w:rFonts w:eastAsiaTheme="minorEastAsia"/>
          <w:sz w:val="24"/>
          <w:szCs w:val="24"/>
        </w:rPr>
        <w:t xml:space="preserve">. at </w:t>
      </w:r>
      <w:r w:rsidR="007D6311" w:rsidRPr="004C4C78">
        <w:rPr>
          <w:rStyle w:val="CommentReference"/>
          <w:rFonts w:eastAsiaTheme="minorEastAsia"/>
          <w:sz w:val="24"/>
          <w:szCs w:val="24"/>
        </w:rPr>
        <w:t xml:space="preserve">609. The respondent’s attorney had mentioned his suspicions that his client may have had cognitive limitations, and the IJ had noted during the hearing that </w:t>
      </w:r>
      <w:r w:rsidR="00315D16" w:rsidRPr="004C4C78">
        <w:rPr>
          <w:rStyle w:val="CommentReference"/>
          <w:rFonts w:eastAsiaTheme="minorEastAsia"/>
          <w:sz w:val="24"/>
          <w:szCs w:val="24"/>
        </w:rPr>
        <w:t xml:space="preserve">the respondent often </w:t>
      </w:r>
      <w:r w:rsidR="00315D16" w:rsidRPr="004C4C78">
        <w:rPr>
          <w:rStyle w:val="CommentReference"/>
          <w:rFonts w:eastAsiaTheme="minorEastAsia"/>
          <w:sz w:val="24"/>
          <w:szCs w:val="24"/>
        </w:rPr>
        <w:lastRenderedPageBreak/>
        <w:t xml:space="preserve">appeared confused during the proceedings and was at times nonresponsive. Yet in his </w:t>
      </w:r>
      <w:proofErr w:type="gramStart"/>
      <w:r w:rsidR="00315D16" w:rsidRPr="004C4C78">
        <w:rPr>
          <w:rStyle w:val="CommentReference"/>
          <w:rFonts w:eastAsiaTheme="minorEastAsia"/>
          <w:sz w:val="24"/>
          <w:szCs w:val="24"/>
        </w:rPr>
        <w:t>decision</w:t>
      </w:r>
      <w:proofErr w:type="gramEnd"/>
      <w:r w:rsidR="00315D16" w:rsidRPr="004C4C78">
        <w:rPr>
          <w:rStyle w:val="CommentReference"/>
          <w:rFonts w:eastAsiaTheme="minorEastAsia"/>
          <w:sz w:val="24"/>
          <w:szCs w:val="24"/>
        </w:rPr>
        <w:t xml:space="preserve"> the IJ did not mention these concerns.</w:t>
      </w:r>
    </w:p>
    <w:p w14:paraId="3A616FD2" w14:textId="1C37AD20" w:rsidR="001D53E7" w:rsidRPr="004C4C78" w:rsidRDefault="00315D16" w:rsidP="00503DFD">
      <w:pPr>
        <w:spacing w:line="480" w:lineRule="auto"/>
        <w:ind w:left="360" w:firstLine="360"/>
        <w:rPr>
          <w:noProof/>
        </w:rPr>
      </w:pPr>
      <w:r w:rsidRPr="004C4C78">
        <w:rPr>
          <w:rStyle w:val="CommentReference"/>
          <w:rFonts w:eastAsiaTheme="minorEastAsia"/>
          <w:sz w:val="24"/>
          <w:szCs w:val="24"/>
        </w:rPr>
        <w:t xml:space="preserve">The BIA, in ordering the remand, </w:t>
      </w:r>
      <w:r w:rsidRPr="004C4C78">
        <w:rPr>
          <w:noProof/>
        </w:rPr>
        <w:t>recognized that there may be instances where, “inconsistencies, implausibilty, inaccuracy of details, inappropriate deameanor, and nonresponsiveness—may be reflective of a mental illness or disabil</w:t>
      </w:r>
      <w:r w:rsidR="005F129D" w:rsidRPr="004C4C78">
        <w:rPr>
          <w:noProof/>
        </w:rPr>
        <w:t>i</w:t>
      </w:r>
      <w:r w:rsidRPr="004C4C78">
        <w:rPr>
          <w:noProof/>
        </w:rPr>
        <w:t xml:space="preserve">ty, rather than an attempt to deceive the Immigration Judge.” </w:t>
      </w:r>
      <w:r w:rsidRPr="004C4C78">
        <w:rPr>
          <w:i/>
          <w:noProof/>
        </w:rPr>
        <w:t>Id</w:t>
      </w:r>
      <w:r w:rsidRPr="004C4C78">
        <w:rPr>
          <w:noProof/>
        </w:rPr>
        <w:t xml:space="preserve">. at 611. In the case, the respondent </w:t>
      </w:r>
      <w:r w:rsidR="00657CE1" w:rsidRPr="004C4C78">
        <w:rPr>
          <w:noProof/>
        </w:rPr>
        <w:t>had incorrectly stated that 2006 was “last year</w:t>
      </w:r>
      <w:r w:rsidR="005F129D" w:rsidRPr="004C4C78">
        <w:rPr>
          <w:noProof/>
        </w:rPr>
        <w:t>”</w:t>
      </w:r>
      <w:r w:rsidR="00657CE1" w:rsidRPr="004C4C78">
        <w:rPr>
          <w:noProof/>
        </w:rPr>
        <w:t xml:space="preserve"> when it was actually seven years ago, </w:t>
      </w:r>
      <w:r w:rsidR="00006596" w:rsidRPr="004C4C78">
        <w:rPr>
          <w:noProof/>
        </w:rPr>
        <w:t xml:space="preserve">confused the year in which he first arrive in the United States, and laughed inappropriately. In response to these </w:t>
      </w:r>
      <w:r w:rsidR="00014169" w:rsidRPr="004C4C78">
        <w:rPr>
          <w:noProof/>
        </w:rPr>
        <w:t xml:space="preserve">indicia </w:t>
      </w:r>
      <w:r w:rsidR="001D37C4" w:rsidRPr="004C4C78">
        <w:rPr>
          <w:noProof/>
        </w:rPr>
        <w:t>of cognitive</w:t>
      </w:r>
      <w:r w:rsidR="00006596" w:rsidRPr="004C4C78">
        <w:rPr>
          <w:noProof/>
        </w:rPr>
        <w:t xml:space="preserve"> limitations, the Board </w:t>
      </w:r>
      <w:r w:rsidR="005F129D" w:rsidRPr="004C4C78">
        <w:rPr>
          <w:noProof/>
        </w:rPr>
        <w:t xml:space="preserve">created </w:t>
      </w:r>
      <w:r w:rsidR="00006596" w:rsidRPr="004C4C78">
        <w:rPr>
          <w:noProof/>
        </w:rPr>
        <w:t xml:space="preserve">an accommodation </w:t>
      </w:r>
      <w:r w:rsidR="001D53E7" w:rsidRPr="004C4C78">
        <w:rPr>
          <w:noProof/>
        </w:rPr>
        <w:t xml:space="preserve">appropriate for the respondent, stating that </w:t>
      </w:r>
      <w:r w:rsidR="0069101B" w:rsidRPr="004C4C78">
        <w:rPr>
          <w:noProof/>
        </w:rPr>
        <w:t>“where a mental health concern may be affecting the reliability of the applicant’s testimony, the Immigration Judge should, as a safeguard, generally accept that the applicant belives what he has presented.”</w:t>
      </w:r>
      <w:r w:rsidR="001D53E7" w:rsidRPr="004C4C78">
        <w:rPr>
          <w:noProof/>
        </w:rPr>
        <w:t xml:space="preserve"> </w:t>
      </w:r>
      <w:r w:rsidR="001D53E7" w:rsidRPr="004C4C78">
        <w:rPr>
          <w:i/>
          <w:noProof/>
        </w:rPr>
        <w:t>Id</w:t>
      </w:r>
      <w:r w:rsidR="001D53E7" w:rsidRPr="004C4C78">
        <w:rPr>
          <w:noProof/>
        </w:rPr>
        <w:t xml:space="preserve">. </w:t>
      </w:r>
    </w:p>
    <w:p w14:paraId="470B9FF5" w14:textId="3B92BB48" w:rsidR="0069101B" w:rsidRPr="004C4C78" w:rsidRDefault="002A10C6" w:rsidP="00503DFD">
      <w:pPr>
        <w:spacing w:line="480" w:lineRule="auto"/>
        <w:ind w:left="360" w:firstLine="360"/>
        <w:rPr>
          <w:noProof/>
        </w:rPr>
      </w:pPr>
      <w:r w:rsidRPr="004C4C78">
        <w:rPr>
          <w:noProof/>
        </w:rPr>
        <w:t xml:space="preserve">The logic of </w:t>
      </w:r>
      <w:r w:rsidRPr="004C4C78">
        <w:rPr>
          <w:i/>
          <w:noProof/>
        </w:rPr>
        <w:t xml:space="preserve">J-R-R-A </w:t>
      </w:r>
      <w:r w:rsidRPr="004C4C78">
        <w:rPr>
          <w:noProof/>
        </w:rPr>
        <w:t xml:space="preserve">should sensibly extend to that of people suffering from mood disorders or PTSD.  </w:t>
      </w:r>
      <w:r w:rsidR="00014169" w:rsidRPr="004C4C78">
        <w:rPr>
          <w:noProof/>
          <w:highlight w:val="yellow"/>
        </w:rPr>
        <w:t>CLIENT’s [mood disorder] or PTSD</w:t>
      </w:r>
      <w:r w:rsidR="00014169" w:rsidRPr="004C4C78">
        <w:rPr>
          <w:noProof/>
        </w:rPr>
        <w:t xml:space="preserve"> </w:t>
      </w:r>
      <w:r w:rsidRPr="004C4C78">
        <w:rPr>
          <w:noProof/>
        </w:rPr>
        <w:t xml:space="preserve">is also a </w:t>
      </w:r>
      <w:r w:rsidR="00014169" w:rsidRPr="004C4C78">
        <w:rPr>
          <w:noProof/>
        </w:rPr>
        <w:t xml:space="preserve">mental health concern that may affect how the Court perceives </w:t>
      </w:r>
      <w:r w:rsidR="00DD0D1D" w:rsidRPr="004C4C78">
        <w:rPr>
          <w:noProof/>
          <w:highlight w:val="yellow"/>
        </w:rPr>
        <w:t>[HIS/HER]</w:t>
      </w:r>
      <w:r w:rsidR="00014169" w:rsidRPr="004C4C78">
        <w:rPr>
          <w:noProof/>
        </w:rPr>
        <w:t xml:space="preserve"> testimony</w:t>
      </w:r>
      <w:r w:rsidR="001D53E7" w:rsidRPr="004C4C78">
        <w:rPr>
          <w:noProof/>
        </w:rPr>
        <w:t>.</w:t>
      </w:r>
      <w:r w:rsidR="00014169" w:rsidRPr="004C4C78">
        <w:rPr>
          <w:noProof/>
        </w:rPr>
        <w:t xml:space="preserve"> </w:t>
      </w:r>
      <w:r w:rsidRPr="004C4C78">
        <w:rPr>
          <w:noProof/>
        </w:rPr>
        <w:t xml:space="preserve">As discussed </w:t>
      </w:r>
      <w:r w:rsidRPr="004C4C78">
        <w:rPr>
          <w:i/>
          <w:noProof/>
        </w:rPr>
        <w:t>infra</w:t>
      </w:r>
      <w:r w:rsidRPr="004C4C78">
        <w:rPr>
          <w:noProof/>
        </w:rPr>
        <w:t>,</w:t>
      </w:r>
      <w:r w:rsidR="00DD0D1D" w:rsidRPr="004C4C78">
        <w:rPr>
          <w:noProof/>
        </w:rPr>
        <w:t xml:space="preserve"> people such as </w:t>
      </w:r>
      <w:r w:rsidR="00DD0D1D" w:rsidRPr="004C4C78">
        <w:rPr>
          <w:noProof/>
          <w:highlight w:val="yellow"/>
        </w:rPr>
        <w:t>CLIENT</w:t>
      </w:r>
      <w:r w:rsidR="00DD0D1D" w:rsidRPr="004C4C78">
        <w:rPr>
          <w:noProof/>
        </w:rPr>
        <w:t xml:space="preserve"> who suffer from </w:t>
      </w:r>
      <w:r w:rsidRPr="004C4C78">
        <w:rPr>
          <w:noProof/>
          <w:highlight w:val="yellow"/>
        </w:rPr>
        <w:t>[mood disorder] or PTSD</w:t>
      </w:r>
      <w:r w:rsidRPr="004C4C78">
        <w:rPr>
          <w:noProof/>
        </w:rPr>
        <w:t xml:space="preserve"> may also forget details like dates and names, and in addition</w:t>
      </w:r>
      <w:r w:rsidR="00DD0D1D" w:rsidRPr="004C4C78">
        <w:rPr>
          <w:noProof/>
        </w:rPr>
        <w:t xml:space="preserve"> could</w:t>
      </w:r>
      <w:r w:rsidRPr="004C4C78">
        <w:rPr>
          <w:noProof/>
        </w:rPr>
        <w:t xml:space="preserve"> have a flat affect or be easily re-traumatized by the subject matter of certain questions. The</w:t>
      </w:r>
      <w:r w:rsidR="001D53E7" w:rsidRPr="004C4C78">
        <w:rPr>
          <w:noProof/>
        </w:rPr>
        <w:t xml:space="preserve"> Second Circuit </w:t>
      </w:r>
      <w:r w:rsidR="00660D75">
        <w:rPr>
          <w:noProof/>
        </w:rPr>
        <w:t xml:space="preserve"> and other federal courts </w:t>
      </w:r>
      <w:r w:rsidRPr="004C4C78">
        <w:rPr>
          <w:noProof/>
        </w:rPr>
        <w:t xml:space="preserve">already </w:t>
      </w:r>
      <w:r w:rsidR="00660D75">
        <w:rPr>
          <w:noProof/>
        </w:rPr>
        <w:t>recognize</w:t>
      </w:r>
      <w:r w:rsidRPr="004C4C78">
        <w:rPr>
          <w:noProof/>
        </w:rPr>
        <w:t xml:space="preserve"> that i</w:t>
      </w:r>
      <w:r w:rsidR="009B561A" w:rsidRPr="004C4C78">
        <w:rPr>
          <w:noProof/>
        </w:rPr>
        <w:t>nconsistencies in testimony must be consider</w:t>
      </w:r>
      <w:r w:rsidR="008F08CE" w:rsidRPr="004C4C78">
        <w:rPr>
          <w:noProof/>
        </w:rPr>
        <w:t>e</w:t>
      </w:r>
      <w:r w:rsidR="009B561A" w:rsidRPr="004C4C78">
        <w:rPr>
          <w:noProof/>
        </w:rPr>
        <w:t xml:space="preserve">d in light of </w:t>
      </w:r>
      <w:r w:rsidRPr="004C4C78">
        <w:rPr>
          <w:noProof/>
        </w:rPr>
        <w:t xml:space="preserve"> conditions like PTSD</w:t>
      </w:r>
      <w:r w:rsidR="001D53E7" w:rsidRPr="004C4C78">
        <w:rPr>
          <w:noProof/>
        </w:rPr>
        <w:t>.</w:t>
      </w:r>
      <w:r w:rsidR="00AE0D5E" w:rsidRPr="004C4C78">
        <w:rPr>
          <w:noProof/>
        </w:rPr>
        <w:t xml:space="preserve"> </w:t>
      </w:r>
      <w:r w:rsidR="00AE0D5E" w:rsidRPr="004C4C78">
        <w:rPr>
          <w:i/>
          <w:noProof/>
        </w:rPr>
        <w:t xml:space="preserve">See </w:t>
      </w:r>
      <w:r w:rsidR="0069101B" w:rsidRPr="004C4C78">
        <w:rPr>
          <w:i/>
          <w:noProof/>
        </w:rPr>
        <w:t>Kasongo v. Gonzales</w:t>
      </w:r>
      <w:r w:rsidR="0069101B" w:rsidRPr="004C4C78">
        <w:rPr>
          <w:noProof/>
        </w:rPr>
        <w:t>, 161 Fed. Appx. 147, 148–49 (2d Cir. 2006) (remanding case where IJ used minor inconsistencies in testimony as unwarranted</w:t>
      </w:r>
      <w:r w:rsidR="00AE0D5E" w:rsidRPr="004C4C78">
        <w:rPr>
          <w:noProof/>
        </w:rPr>
        <w:t xml:space="preserve"> given respondent’s </w:t>
      </w:r>
      <w:r w:rsidR="00EA4723" w:rsidRPr="004C4C78">
        <w:rPr>
          <w:noProof/>
        </w:rPr>
        <w:t>“</w:t>
      </w:r>
      <w:r w:rsidR="00AE0D5E" w:rsidRPr="004C4C78">
        <w:rPr>
          <w:noProof/>
        </w:rPr>
        <w:t>e</w:t>
      </w:r>
      <w:r w:rsidR="0069101B" w:rsidRPr="004C4C78">
        <w:rPr>
          <w:noProof/>
        </w:rPr>
        <w:t xml:space="preserve">xtremely emotionally fragile” state and his “classic presentation of posttraumatic stress disorder.”); </w:t>
      </w:r>
      <w:r w:rsidR="0069101B" w:rsidRPr="004C4C78">
        <w:rPr>
          <w:i/>
          <w:noProof/>
        </w:rPr>
        <w:t>see also Cordova-Manzanarez v. Holder</w:t>
      </w:r>
      <w:r w:rsidR="0069101B" w:rsidRPr="004C4C78">
        <w:rPr>
          <w:noProof/>
        </w:rPr>
        <w:t xml:space="preserve">, 429 Fed. Appx. 659 (9th Cir. 2011) (remanding case in </w:t>
      </w:r>
      <w:r w:rsidR="0069101B" w:rsidRPr="004C4C78">
        <w:rPr>
          <w:noProof/>
        </w:rPr>
        <w:lastRenderedPageBreak/>
        <w:t xml:space="preserve">which IJ failed to take into account expert testimony regarding petitioner’s </w:t>
      </w:r>
      <w:r w:rsidR="00F44D2F" w:rsidRPr="004C4C78">
        <w:rPr>
          <w:noProof/>
        </w:rPr>
        <w:t>mental health impairments</w:t>
      </w:r>
      <w:r w:rsidR="0069101B" w:rsidRPr="004C4C78">
        <w:rPr>
          <w:noProof/>
        </w:rPr>
        <w:t xml:space="preserve">); </w:t>
      </w:r>
      <w:r w:rsidR="0069101B" w:rsidRPr="004C4C78">
        <w:rPr>
          <w:i/>
          <w:noProof/>
        </w:rPr>
        <w:t>Zubeda v. Ashcroft</w:t>
      </w:r>
      <w:r w:rsidR="0069101B" w:rsidRPr="004C4C78">
        <w:rPr>
          <w:noProof/>
        </w:rPr>
        <w:t>, 333 F.3d 463, 476–77 (3d Cir. 2003) (cautioning against placing too much weight on inconsistenc</w:t>
      </w:r>
      <w:r w:rsidR="00336C09" w:rsidRPr="004C4C78">
        <w:rPr>
          <w:noProof/>
        </w:rPr>
        <w:t>i</w:t>
      </w:r>
      <w:r w:rsidR="0069101B" w:rsidRPr="004C4C78">
        <w:rPr>
          <w:noProof/>
        </w:rPr>
        <w:t xml:space="preserve">es in testimony in light of petitioner’s mental health conditions). </w:t>
      </w:r>
    </w:p>
    <w:p w14:paraId="41CDD269" w14:textId="77777777" w:rsidR="00935323" w:rsidRPr="004C4C78" w:rsidRDefault="00F35082" w:rsidP="004C4C78">
      <w:pPr>
        <w:spacing w:line="480" w:lineRule="auto"/>
        <w:ind w:left="360" w:firstLine="360"/>
      </w:pPr>
      <w:r w:rsidRPr="004C4C78">
        <w:rPr>
          <w:noProof/>
        </w:rPr>
        <w:t xml:space="preserve">Like the respondent in </w:t>
      </w:r>
      <w:r w:rsidRPr="004C4C78">
        <w:rPr>
          <w:i/>
          <w:noProof/>
        </w:rPr>
        <w:t>Matter of J-R-R-A</w:t>
      </w:r>
      <w:r w:rsidR="006D2D07" w:rsidRPr="004C4C78">
        <w:rPr>
          <w:noProof/>
        </w:rPr>
        <w:t xml:space="preserve">, individuals with </w:t>
      </w:r>
      <w:r w:rsidR="005D651C" w:rsidRPr="004C4C78">
        <w:t>[</w:t>
      </w:r>
      <w:r w:rsidR="005D651C" w:rsidRPr="004C4C78">
        <w:rPr>
          <w:highlight w:val="yellow"/>
        </w:rPr>
        <w:t>mood disorder] or PTSD</w:t>
      </w:r>
      <w:r w:rsidR="0069101B" w:rsidRPr="004C4C78">
        <w:t xml:space="preserve"> a</w:t>
      </w:r>
      <w:r w:rsidR="006D2D07" w:rsidRPr="004C4C78">
        <w:t xml:space="preserve">re often </w:t>
      </w:r>
      <w:r w:rsidR="0069101B" w:rsidRPr="004C4C78">
        <w:t xml:space="preserve">unable to remember peripheral details of events, including dates and names. </w:t>
      </w:r>
      <w:r w:rsidR="00F44D2F" w:rsidRPr="004C4C78">
        <w:t>They may also suffer from a flat affect that may limit their range of emotional expression</w:t>
      </w:r>
      <w:r w:rsidR="002560D4" w:rsidRPr="004C4C78">
        <w:t xml:space="preserve">. </w:t>
      </w:r>
      <w:r w:rsidR="0069101B" w:rsidRPr="004C4C78">
        <w:t xml:space="preserve">Such deficits are common in people suffering from </w:t>
      </w:r>
      <w:r w:rsidR="002126A9" w:rsidRPr="004C4C78">
        <w:rPr>
          <w:highlight w:val="yellow"/>
        </w:rPr>
        <w:t>PTSD or [mood disorder]</w:t>
      </w:r>
      <w:r w:rsidR="0069101B" w:rsidRPr="004C4C78">
        <w:t xml:space="preserve"> </w:t>
      </w:r>
      <w:r w:rsidR="002560D4" w:rsidRPr="004C4C78">
        <w:t>like</w:t>
      </w:r>
      <w:r w:rsidR="0069101B" w:rsidRPr="004C4C78">
        <w:t xml:space="preserve"> </w:t>
      </w:r>
      <w:r w:rsidR="00336C09" w:rsidRPr="004C4C78">
        <w:rPr>
          <w:highlight w:val="yellow"/>
        </w:rPr>
        <w:t>CLIENT</w:t>
      </w:r>
      <w:r w:rsidR="0069101B" w:rsidRPr="004C4C78">
        <w:t xml:space="preserve">. As the BIA itself acknowledges, such lapses are not indicative of malevolent intent, but rather reflect the reality of </w:t>
      </w:r>
      <w:r w:rsidR="0069101B" w:rsidRPr="004C4C78">
        <w:rPr>
          <w:highlight w:val="yellow"/>
        </w:rPr>
        <w:t>[his/her]</w:t>
      </w:r>
      <w:r w:rsidR="0069101B" w:rsidRPr="004C4C78">
        <w:t xml:space="preserve"> symptoms. </w:t>
      </w:r>
      <w:r w:rsidR="003D2806" w:rsidRPr="004C4C78">
        <w:rPr>
          <w:i/>
        </w:rPr>
        <w:t>Matter of J-R-RA</w:t>
      </w:r>
      <w:r w:rsidR="003D2806" w:rsidRPr="004C4C78">
        <w:t>, at</w:t>
      </w:r>
      <w:r w:rsidR="0069101B" w:rsidRPr="004C4C78">
        <w:t xml:space="preserve"> 611 (“factors that would otherwise point to a lack of honesty in a witness—maybe be reflective of an illness or disability, rather than an attempt to deceive the Immigration Judge.”). Because failure to consider </w:t>
      </w:r>
      <w:r w:rsidR="0069101B" w:rsidRPr="004C4C78">
        <w:rPr>
          <w:highlight w:val="yellow"/>
        </w:rPr>
        <w:t>CLIENT’S</w:t>
      </w:r>
      <w:r w:rsidR="0069101B" w:rsidRPr="004C4C78">
        <w:t xml:space="preserve"> disability may unduly prejudice the Court’s credibility determination and undermine the fundamental fairness of the proceeding, counsel respectfully requests that the Court include consideration of </w:t>
      </w:r>
      <w:r w:rsidR="0069101B" w:rsidRPr="004C4C78">
        <w:rPr>
          <w:highlight w:val="yellow"/>
        </w:rPr>
        <w:t>CLIENT’s</w:t>
      </w:r>
      <w:r w:rsidR="0069101B" w:rsidRPr="004C4C78">
        <w:t xml:space="preserve"> </w:t>
      </w:r>
      <w:r w:rsidR="005D651C" w:rsidRPr="004C4C78">
        <w:t>mental health issues</w:t>
      </w:r>
      <w:r w:rsidR="0069101B" w:rsidRPr="004C4C78">
        <w:t xml:space="preserve"> when evaluating </w:t>
      </w:r>
      <w:r w:rsidR="00336C09" w:rsidRPr="004C4C78">
        <w:rPr>
          <w:highlight w:val="yellow"/>
        </w:rPr>
        <w:t>[HIS/HER]</w:t>
      </w:r>
      <w:r w:rsidR="0069101B" w:rsidRPr="004C4C78">
        <w:t xml:space="preserve"> testimony.</w:t>
      </w:r>
    </w:p>
    <w:p w14:paraId="752C0F2D" w14:textId="330E00B5" w:rsidR="00336C09" w:rsidRPr="004C4C78" w:rsidRDefault="006B1EA9" w:rsidP="004C4C78">
      <w:pPr>
        <w:spacing w:line="480" w:lineRule="auto"/>
        <w:ind w:left="360" w:firstLine="360"/>
      </w:pPr>
      <w:r w:rsidRPr="004C4C78">
        <w:t xml:space="preserve">Similarly, the Court must also consider </w:t>
      </w:r>
      <w:r w:rsidRPr="004C4C78">
        <w:rPr>
          <w:highlight w:val="yellow"/>
        </w:rPr>
        <w:t>CLIENT’s</w:t>
      </w:r>
      <w:r w:rsidRPr="004C4C78">
        <w:t xml:space="preserve"> mental health conditions when evaluating discretionary factors such as </w:t>
      </w:r>
      <w:r w:rsidR="00696CFB" w:rsidRPr="004C4C78">
        <w:t xml:space="preserve">the </w:t>
      </w:r>
      <w:r w:rsidRPr="004C4C78">
        <w:t>extent of rehabilitation and remorse.</w:t>
      </w:r>
      <w:r w:rsidR="003E5827" w:rsidRPr="004C4C78">
        <w:t xml:space="preserve"> An immigration judge’s </w:t>
      </w:r>
      <w:r w:rsidR="00E06329" w:rsidRPr="004C4C78">
        <w:t xml:space="preserve">evaluation of </w:t>
      </w:r>
      <w:r w:rsidR="00E06329" w:rsidRPr="004C4C78">
        <w:rPr>
          <w:highlight w:val="yellow"/>
        </w:rPr>
        <w:t>CLIENT’s</w:t>
      </w:r>
      <w:r w:rsidR="00E06329" w:rsidRPr="004C4C78">
        <w:t xml:space="preserve"> </w:t>
      </w:r>
      <w:r w:rsidR="003E5827" w:rsidRPr="004C4C78">
        <w:t>demeanor</w:t>
      </w:r>
      <w:r w:rsidR="00E06329" w:rsidRPr="004C4C78">
        <w:t xml:space="preserve"> and responsiveness</w:t>
      </w:r>
      <w:r w:rsidR="00C83D14" w:rsidRPr="004C4C78">
        <w:t xml:space="preserve"> factors into </w:t>
      </w:r>
      <w:r w:rsidR="003E5827" w:rsidRPr="004C4C78">
        <w:t>the “totality of the circumstances” analysis the Court must adopt when assessing credibility.</w:t>
      </w:r>
      <w:r w:rsidR="000C2146" w:rsidRPr="004C4C78">
        <w:t xml:space="preserve"> </w:t>
      </w:r>
      <w:r w:rsidR="000C2146" w:rsidRPr="004C4C78">
        <w:rPr>
          <w:i/>
        </w:rPr>
        <w:t xml:space="preserve">See </w:t>
      </w:r>
      <w:r w:rsidR="00C83D14" w:rsidRPr="004C4C78">
        <w:t>INA § 208(b</w:t>
      </w:r>
      <w:proofErr w:type="gramStart"/>
      <w:r w:rsidR="00C83D14" w:rsidRPr="004C4C78">
        <w:t>)(</w:t>
      </w:r>
      <w:proofErr w:type="gramEnd"/>
      <w:r w:rsidR="00C83D14" w:rsidRPr="004C4C78">
        <w:t>1)(B)(iii) (listing demeanor</w:t>
      </w:r>
      <w:r w:rsidR="00E06329" w:rsidRPr="004C4C78">
        <w:t xml:space="preserve"> and responsiveness as two </w:t>
      </w:r>
      <w:r w:rsidR="00C83D14" w:rsidRPr="004C4C78">
        <w:t>of many factors immigration jud</w:t>
      </w:r>
      <w:r w:rsidR="00E06329" w:rsidRPr="004C4C78">
        <w:t>ges can consider when assessing credibility)</w:t>
      </w:r>
      <w:r w:rsidR="002E6608" w:rsidRPr="004C4C78">
        <w:t xml:space="preserve">. </w:t>
      </w:r>
      <w:r w:rsidR="00BF6D4F" w:rsidRPr="004C4C78">
        <w:t xml:space="preserve">Demeanor and responsiveness are also factors the IJ considers when determining whether someone has </w:t>
      </w:r>
      <w:r w:rsidR="00336C09" w:rsidRPr="004C4C78">
        <w:t xml:space="preserve">expressed </w:t>
      </w:r>
      <w:r w:rsidR="00BF6D4F" w:rsidRPr="004C4C78">
        <w:t xml:space="preserve">genuine rehabilitation or remorse. </w:t>
      </w:r>
      <w:r w:rsidR="00BF6D4F" w:rsidRPr="004C4C78">
        <w:rPr>
          <w:i/>
        </w:rPr>
        <w:t>See, e.g.</w:t>
      </w:r>
      <w:r w:rsidR="00BF6D4F" w:rsidRPr="004C4C78">
        <w:t xml:space="preserve">, </w:t>
      </w:r>
      <w:r w:rsidR="006A78DE" w:rsidRPr="004C4C78">
        <w:rPr>
          <w:i/>
        </w:rPr>
        <w:t>In Re Mendez-Morales</w:t>
      </w:r>
      <w:r w:rsidR="006A78DE" w:rsidRPr="004C4C78">
        <w:t xml:space="preserve">, </w:t>
      </w:r>
      <w:r w:rsidR="00DE33B1" w:rsidRPr="004C4C78">
        <w:t>21 I. &amp; N. De</w:t>
      </w:r>
      <w:r w:rsidR="00697684" w:rsidRPr="004C4C78">
        <w:t xml:space="preserve">c. 296 (BIA 1996). </w:t>
      </w:r>
    </w:p>
    <w:p w14:paraId="538C592D" w14:textId="7EC9D08A" w:rsidR="00F01004" w:rsidRPr="004C4C78" w:rsidRDefault="002E6608" w:rsidP="00935323">
      <w:pPr>
        <w:spacing w:line="480" w:lineRule="auto"/>
        <w:ind w:left="720" w:firstLine="720"/>
        <w:rPr>
          <w:b/>
          <w:noProof/>
        </w:rPr>
      </w:pPr>
      <w:r w:rsidRPr="004C4C78">
        <w:lastRenderedPageBreak/>
        <w:t>However, a</w:t>
      </w:r>
      <w:r w:rsidR="003E5827" w:rsidRPr="004C4C78">
        <w:t xml:space="preserve">s discussed extensively </w:t>
      </w:r>
      <w:r w:rsidR="003E5827" w:rsidRPr="004C4C78">
        <w:rPr>
          <w:i/>
        </w:rPr>
        <w:t>supra</w:t>
      </w:r>
      <w:r w:rsidR="003E5827" w:rsidRPr="004C4C78">
        <w:t xml:space="preserve">, </w:t>
      </w:r>
      <w:r w:rsidR="003E5827" w:rsidRPr="004C4C78">
        <w:rPr>
          <w:highlight w:val="yellow"/>
        </w:rPr>
        <w:t>CLIENT</w:t>
      </w:r>
      <w:r w:rsidR="003E5827" w:rsidRPr="004C4C78">
        <w:t xml:space="preserve"> suffers from </w:t>
      </w:r>
      <w:r w:rsidR="003E5827" w:rsidRPr="004C4C78">
        <w:rPr>
          <w:highlight w:val="yellow"/>
        </w:rPr>
        <w:t>[mood disorder] or PTSD</w:t>
      </w:r>
      <w:r w:rsidR="003E5827" w:rsidRPr="004C4C78">
        <w:t xml:space="preserve"> that directly </w:t>
      </w:r>
      <w:r w:rsidRPr="004C4C78">
        <w:t xml:space="preserve">affects both </w:t>
      </w:r>
      <w:r w:rsidRPr="004C4C78">
        <w:rPr>
          <w:highlight w:val="yellow"/>
        </w:rPr>
        <w:t>CLIENT’s</w:t>
      </w:r>
      <w:r w:rsidRPr="004C4C78">
        <w:t xml:space="preserve"> demeanor and responsiveness—specifically, </w:t>
      </w:r>
      <w:r w:rsidRPr="004C4C78">
        <w:rPr>
          <w:highlight w:val="yellow"/>
        </w:rPr>
        <w:t>CLIENT’s</w:t>
      </w:r>
      <w:r w:rsidRPr="004C4C78">
        <w:t xml:space="preserve"> mental health conditions diminish and flatten </w:t>
      </w:r>
      <w:r w:rsidR="00E74368" w:rsidRPr="00596B2C">
        <w:rPr>
          <w:highlight w:val="yellow"/>
        </w:rPr>
        <w:t>[his/her]</w:t>
      </w:r>
      <w:r w:rsidR="00F33045" w:rsidRPr="004C4C78">
        <w:t xml:space="preserve"> range of emotional responses</w:t>
      </w:r>
      <w:r w:rsidR="000C2146" w:rsidRPr="004C4C78">
        <w:t xml:space="preserve">. </w:t>
      </w:r>
      <w:r w:rsidR="00E74368" w:rsidRPr="004C4C78">
        <w:t xml:space="preserve">To comply with procedural fairness, the Court must take into account </w:t>
      </w:r>
      <w:r w:rsidR="00E74368" w:rsidRPr="004C4C78">
        <w:rPr>
          <w:highlight w:val="yellow"/>
        </w:rPr>
        <w:t>CLIENT’s</w:t>
      </w:r>
      <w:r w:rsidR="00E74368" w:rsidRPr="004C4C78">
        <w:t xml:space="preserve"> mental health conditions when using demeanor and responsiveness to evaluate discretionary determinations like rehabilitation and remorse. </w:t>
      </w:r>
    </w:p>
    <w:p w14:paraId="4A460803" w14:textId="77777777" w:rsidR="007D3616" w:rsidRPr="004C4C78" w:rsidRDefault="007D3616" w:rsidP="00503DFD">
      <w:pPr>
        <w:spacing w:line="480" w:lineRule="auto"/>
        <w:jc w:val="center"/>
        <w:outlineLvl w:val="0"/>
        <w:rPr>
          <w:b/>
          <w:noProof/>
        </w:rPr>
      </w:pPr>
      <w:r w:rsidRPr="004C4C78">
        <w:rPr>
          <w:b/>
          <w:noProof/>
        </w:rPr>
        <w:t>CONCLUSION</w:t>
      </w:r>
    </w:p>
    <w:p w14:paraId="7BAE2DCF" w14:textId="4E29A45C" w:rsidR="00CD251C" w:rsidRDefault="007D3616" w:rsidP="00503DFD">
      <w:pPr>
        <w:spacing w:line="480" w:lineRule="auto"/>
        <w:rPr>
          <w:noProof/>
        </w:rPr>
      </w:pPr>
      <w:r w:rsidRPr="004C4C78">
        <w:rPr>
          <w:noProof/>
        </w:rPr>
        <w:t xml:space="preserve">Accommodating </w:t>
      </w:r>
      <w:r w:rsidRPr="004C4C78">
        <w:rPr>
          <w:noProof/>
          <w:highlight w:val="yellow"/>
        </w:rPr>
        <w:t>CLIENT’s</w:t>
      </w:r>
      <w:r w:rsidRPr="004C4C78">
        <w:rPr>
          <w:noProof/>
        </w:rPr>
        <w:t xml:space="preserve"> mental health condit</w:t>
      </w:r>
      <w:r w:rsidR="00E94EBF" w:rsidRPr="004C4C78">
        <w:rPr>
          <w:noProof/>
        </w:rPr>
        <w:t xml:space="preserve">ions is an important part of ensuring that </w:t>
      </w:r>
      <w:r w:rsidR="00545A33" w:rsidRPr="004C4C78">
        <w:rPr>
          <w:noProof/>
          <w:highlight w:val="yellow"/>
        </w:rPr>
        <w:t>CLIENT’</w:t>
      </w:r>
      <w:r w:rsidR="005130E0" w:rsidRPr="004C4C78">
        <w:rPr>
          <w:noProof/>
          <w:highlight w:val="yellow"/>
        </w:rPr>
        <w:t>s</w:t>
      </w:r>
      <w:r w:rsidR="005130E0" w:rsidRPr="004C4C78">
        <w:rPr>
          <w:noProof/>
        </w:rPr>
        <w:t xml:space="preserve"> proceedings are fundamentally fair. Such accommodations will also assist in the further development of the record, and are simply good practice given the circumst</w:t>
      </w:r>
      <w:r w:rsidR="009C6CCE" w:rsidRPr="004C4C78">
        <w:rPr>
          <w:noProof/>
        </w:rPr>
        <w:t>ances.</w:t>
      </w:r>
    </w:p>
    <w:p w14:paraId="2E933B88" w14:textId="237887FF" w:rsidR="009E3109" w:rsidRDefault="009E3109" w:rsidP="00503DFD">
      <w:pPr>
        <w:spacing w:line="480" w:lineRule="auto"/>
        <w:rPr>
          <w:noProof/>
        </w:rPr>
      </w:pPr>
    </w:p>
    <w:p w14:paraId="6205F5DC" w14:textId="167E1700" w:rsidR="009E3109" w:rsidRDefault="009E3109" w:rsidP="00503DFD">
      <w:pPr>
        <w:spacing w:line="480" w:lineRule="auto"/>
        <w:rPr>
          <w:noProof/>
        </w:rPr>
      </w:pPr>
      <w:r>
        <w:rPr>
          <w:noProof/>
        </w:rPr>
        <w:t>Dated: ____________, 2017</w:t>
      </w:r>
    </w:p>
    <w:p w14:paraId="3D115B30" w14:textId="0D74D01E" w:rsidR="00253AE4" w:rsidRDefault="00984BE8" w:rsidP="00F54266">
      <w:pPr>
        <w:spacing w:line="480" w:lineRule="auto"/>
        <w:jc w:val="right"/>
        <w:rPr>
          <w:noProof/>
        </w:rPr>
      </w:pPr>
      <w:r>
        <w:rPr>
          <w:noProof/>
        </w:rPr>
        <w:t>____________________</w:t>
      </w:r>
    </w:p>
    <w:p w14:paraId="6DCF960C" w14:textId="2B45D0C4" w:rsidR="00253AE4" w:rsidRDefault="00984BE8" w:rsidP="00F54266">
      <w:pPr>
        <w:spacing w:line="480" w:lineRule="auto"/>
        <w:jc w:val="right"/>
        <w:rPr>
          <w:noProof/>
        </w:rPr>
      </w:pPr>
      <w:r>
        <w:rPr>
          <w:noProof/>
        </w:rPr>
        <w:t xml:space="preserve">Attorney, Esq. </w:t>
      </w:r>
      <w:r w:rsidR="00253AE4">
        <w:rPr>
          <w:noProof/>
        </w:rPr>
        <w:t xml:space="preserve"> </w:t>
      </w:r>
    </w:p>
    <w:p w14:paraId="279D0A7E" w14:textId="17A7243B" w:rsidR="00797EAF" w:rsidRDefault="00B63ACB" w:rsidP="00F54266">
      <w:pPr>
        <w:spacing w:after="160" w:line="259" w:lineRule="auto"/>
        <w:jc w:val="right"/>
        <w:rPr>
          <w:noProof/>
        </w:rPr>
      </w:pPr>
      <w:r>
        <w:rPr>
          <w:noProof/>
        </w:rPr>
        <w:br w:type="page"/>
      </w:r>
    </w:p>
    <w:p w14:paraId="0225BC96" w14:textId="77777777" w:rsidR="00253AE4" w:rsidRDefault="00253AE4">
      <w:pPr>
        <w:spacing w:after="160" w:line="259" w:lineRule="auto"/>
        <w:rPr>
          <w:noProof/>
        </w:rPr>
      </w:pPr>
    </w:p>
    <w:p w14:paraId="598643F2" w14:textId="49BDAAB2" w:rsidR="00253AE4" w:rsidRDefault="00253AE4">
      <w:pPr>
        <w:spacing w:after="160" w:line="259" w:lineRule="auto"/>
        <w:rPr>
          <w:noProof/>
        </w:rPr>
      </w:pPr>
    </w:p>
    <w:p w14:paraId="0C4A4702" w14:textId="308AD362" w:rsidR="00253AE4" w:rsidRDefault="00253AE4">
      <w:pPr>
        <w:spacing w:after="160" w:line="259" w:lineRule="auto"/>
        <w:rPr>
          <w:noProof/>
        </w:rPr>
      </w:pPr>
    </w:p>
    <w:p w14:paraId="58DC2EA4" w14:textId="77777777" w:rsidR="00253AE4" w:rsidRDefault="00253AE4">
      <w:pPr>
        <w:spacing w:after="160" w:line="259" w:lineRule="auto"/>
        <w:rPr>
          <w:noProof/>
        </w:rPr>
      </w:pPr>
    </w:p>
    <w:p w14:paraId="07EE0FFF" w14:textId="77777777" w:rsidR="0080717C" w:rsidRPr="004C4C78" w:rsidRDefault="0080717C" w:rsidP="0080717C">
      <w:pPr>
        <w:spacing w:line="480" w:lineRule="auto"/>
        <w:jc w:val="right"/>
        <w:outlineLvl w:val="0"/>
        <w:rPr>
          <w:b/>
          <w:highlight w:val="yellow"/>
          <w:u w:val="single"/>
        </w:rPr>
      </w:pPr>
      <w:r w:rsidRPr="0080717C">
        <w:rPr>
          <w:rFonts w:eastAsia="Times New Roman"/>
          <w:b/>
          <w:bCs/>
          <w:highlight w:val="yellow"/>
          <w:u w:val="single"/>
        </w:rPr>
        <w:t>Detained/Non-Detained</w:t>
      </w:r>
      <w:r w:rsidRPr="004C4C78">
        <w:rPr>
          <w:rFonts w:eastAsia="Times New Roman"/>
          <w:bCs/>
        </w:rPr>
        <w:tab/>
        <w:t xml:space="preserve"> </w:t>
      </w:r>
    </w:p>
    <w:p w14:paraId="36ECF759" w14:textId="6E6E7596" w:rsidR="0080717C" w:rsidRPr="0080717C" w:rsidRDefault="0080717C" w:rsidP="0080717C">
      <w:pPr>
        <w:spacing w:line="480" w:lineRule="auto"/>
        <w:rPr>
          <w:lang w:eastAsia="ja-JP"/>
        </w:rPr>
      </w:pPr>
      <w:r w:rsidRPr="0080717C">
        <w:rPr>
          <w:highlight w:val="yellow"/>
          <w:lang w:eastAsia="ja-JP"/>
        </w:rPr>
        <w:t>[ENTER ATTORNEY INFO HERE]</w:t>
      </w:r>
    </w:p>
    <w:p w14:paraId="3BD9D525" w14:textId="77777777" w:rsidR="0080717C" w:rsidRPr="004C4C78" w:rsidRDefault="0080717C" w:rsidP="0080717C">
      <w:pPr>
        <w:jc w:val="center"/>
        <w:outlineLvl w:val="0"/>
        <w:rPr>
          <w:rFonts w:eastAsia="Times New Roman"/>
        </w:rPr>
      </w:pPr>
      <w:r w:rsidRPr="004C4C78">
        <w:rPr>
          <w:rFonts w:eastAsia="Times New Roman"/>
        </w:rPr>
        <w:t>UNITED STATES DEPARTMENT OF JUSTICE</w:t>
      </w:r>
    </w:p>
    <w:p w14:paraId="2ED2AEAE" w14:textId="77777777" w:rsidR="0080717C" w:rsidRPr="004C4C78" w:rsidRDefault="0080717C" w:rsidP="0080717C">
      <w:pPr>
        <w:jc w:val="center"/>
        <w:rPr>
          <w:rFonts w:eastAsia="Times New Roman"/>
        </w:rPr>
      </w:pPr>
      <w:r w:rsidRPr="004C4C78">
        <w:rPr>
          <w:rFonts w:eastAsia="Times New Roman"/>
        </w:rPr>
        <w:t>EXECUTIVE OFFICE FOR IMMIGRATION REVIEW</w:t>
      </w:r>
    </w:p>
    <w:p w14:paraId="63841290" w14:textId="77777777" w:rsidR="0080717C" w:rsidRPr="004C4C78" w:rsidRDefault="0080717C" w:rsidP="0080717C">
      <w:pPr>
        <w:jc w:val="center"/>
        <w:rPr>
          <w:rFonts w:eastAsia="Times New Roman"/>
        </w:rPr>
      </w:pPr>
      <w:r w:rsidRPr="004C4C78">
        <w:rPr>
          <w:rFonts w:eastAsia="Times New Roman"/>
        </w:rPr>
        <w:t>OFFICE OF THE IMMIGRATION JUDGE</w:t>
      </w:r>
    </w:p>
    <w:p w14:paraId="5CC917D8" w14:textId="77777777" w:rsidR="0080717C" w:rsidRPr="004C4C78" w:rsidRDefault="0080717C" w:rsidP="0080717C">
      <w:pPr>
        <w:jc w:val="center"/>
        <w:rPr>
          <w:rFonts w:eastAsia="Times New Roman"/>
        </w:rPr>
      </w:pPr>
      <w:r w:rsidRPr="004C4C78">
        <w:rPr>
          <w:rFonts w:eastAsia="Times New Roman"/>
        </w:rPr>
        <w:t>NEW YORK, NEW YORK</w:t>
      </w:r>
    </w:p>
    <w:p w14:paraId="29A4AB23" w14:textId="77777777" w:rsidR="0080717C" w:rsidRPr="004C4C78" w:rsidRDefault="0080717C" w:rsidP="0080717C">
      <w:pPr>
        <w:rPr>
          <w:rFonts w:eastAsia="Times New Roman"/>
        </w:rPr>
      </w:pPr>
    </w:p>
    <w:p w14:paraId="2D46263F" w14:textId="77777777" w:rsidR="0080717C" w:rsidRPr="004C4C78" w:rsidRDefault="0080717C" w:rsidP="0080717C">
      <w:pPr>
        <w:spacing w:line="480" w:lineRule="auto"/>
        <w:rPr>
          <w:rFonts w:eastAsia="Times New Roman"/>
        </w:rPr>
      </w:pPr>
      <w:r w:rsidRPr="004C4C78">
        <w:rPr>
          <w:rFonts w:eastAsia="Times New Roman"/>
        </w:rPr>
        <w:t>____________________________</w:t>
      </w:r>
    </w:p>
    <w:p w14:paraId="77361221" w14:textId="77777777" w:rsidR="0080717C" w:rsidRPr="004C4C78" w:rsidRDefault="0080717C" w:rsidP="0080717C">
      <w:pPr>
        <w:spacing w:line="480" w:lineRule="auto"/>
        <w:rPr>
          <w:rFonts w:eastAsia="Times New Roman"/>
        </w:rPr>
      </w:pP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t>)</w:t>
      </w:r>
    </w:p>
    <w:p w14:paraId="0C20E2B0" w14:textId="44F2D9C1" w:rsidR="0080717C" w:rsidRPr="004C4C78" w:rsidRDefault="0080717C" w:rsidP="0080717C">
      <w:pPr>
        <w:spacing w:line="480" w:lineRule="auto"/>
        <w:rPr>
          <w:rFonts w:eastAsia="Times New Roman"/>
        </w:rPr>
      </w:pPr>
      <w:r w:rsidRPr="004C4C78">
        <w:rPr>
          <w:rFonts w:eastAsia="Times New Roman"/>
        </w:rPr>
        <w:t>In the Matter of:</w:t>
      </w:r>
      <w:r w:rsidRPr="004C4C78">
        <w:rPr>
          <w:rFonts w:eastAsia="Times New Roman"/>
        </w:rPr>
        <w:tab/>
      </w:r>
      <w:r w:rsidRPr="004C4C78">
        <w:rPr>
          <w:rFonts w:eastAsia="Times New Roman"/>
        </w:rPr>
        <w:tab/>
      </w:r>
      <w:r w:rsidRPr="004C4C78">
        <w:rPr>
          <w:rFonts w:eastAsia="Times New Roman"/>
        </w:rPr>
        <w:tab/>
        <w:t>)</w:t>
      </w: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r>
    </w:p>
    <w:p w14:paraId="64A53534" w14:textId="77777777" w:rsidR="0080717C" w:rsidRPr="004C4C78" w:rsidRDefault="0080717C" w:rsidP="0080717C">
      <w:pPr>
        <w:spacing w:line="480" w:lineRule="auto"/>
        <w:rPr>
          <w:rFonts w:eastAsia="Times New Roman"/>
        </w:rPr>
      </w:pP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t>)</w:t>
      </w:r>
      <w:r w:rsidRPr="004C4C78">
        <w:rPr>
          <w:rFonts w:eastAsia="Times New Roman"/>
        </w:rPr>
        <w:tab/>
      </w:r>
      <w:r w:rsidRPr="004C4C78">
        <w:rPr>
          <w:rFonts w:eastAsia="Times New Roman"/>
        </w:rPr>
        <w:tab/>
      </w:r>
      <w:r w:rsidRPr="004C4C78">
        <w:rPr>
          <w:rFonts w:eastAsia="Times New Roman"/>
          <w:lang w:bidi="en-US"/>
        </w:rPr>
        <w:t>A##########</w:t>
      </w:r>
    </w:p>
    <w:p w14:paraId="0EBD7BBC" w14:textId="7FFE5B68" w:rsidR="0080717C" w:rsidRPr="004C4C78" w:rsidRDefault="0080717C" w:rsidP="0080717C">
      <w:pPr>
        <w:spacing w:line="480" w:lineRule="auto"/>
        <w:rPr>
          <w:rFonts w:eastAsia="Times New Roman"/>
        </w:rPr>
      </w:pPr>
      <w:r w:rsidRPr="004C4C78">
        <w:rPr>
          <w:rFonts w:eastAsia="Times New Roman"/>
        </w:rPr>
        <w:t>CLIENT</w:t>
      </w:r>
      <w:r w:rsidRPr="004C4C78">
        <w:rPr>
          <w:rFonts w:eastAsia="Times New Roman"/>
        </w:rPr>
        <w:tab/>
      </w:r>
      <w:r w:rsidRPr="004C4C78">
        <w:rPr>
          <w:rFonts w:eastAsia="Times New Roman"/>
        </w:rPr>
        <w:tab/>
        <w:t xml:space="preserve">           </w:t>
      </w:r>
      <w:r w:rsidRPr="004C4C78">
        <w:rPr>
          <w:rFonts w:eastAsia="Times New Roman"/>
        </w:rPr>
        <w:tab/>
      </w:r>
      <w:r w:rsidRPr="004C4C78">
        <w:rPr>
          <w:rFonts w:eastAsia="Times New Roman"/>
        </w:rPr>
        <w:tab/>
        <w:t>)</w:t>
      </w: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r>
    </w:p>
    <w:p w14:paraId="164083C3" w14:textId="77777777" w:rsidR="0080717C" w:rsidRPr="004C4C78" w:rsidRDefault="0080717C" w:rsidP="0080717C">
      <w:pPr>
        <w:spacing w:line="480" w:lineRule="auto"/>
        <w:rPr>
          <w:rFonts w:eastAsia="Times New Roman"/>
        </w:rPr>
      </w:pP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r>
      <w:r w:rsidRPr="004C4C78">
        <w:rPr>
          <w:rFonts w:eastAsia="Times New Roman"/>
        </w:rPr>
        <w:tab/>
        <w:t>)</w:t>
      </w:r>
    </w:p>
    <w:p w14:paraId="440B869D" w14:textId="77777777" w:rsidR="0080717C" w:rsidRPr="004C4C78" w:rsidRDefault="0080717C" w:rsidP="0080717C">
      <w:pPr>
        <w:spacing w:line="480" w:lineRule="auto"/>
        <w:rPr>
          <w:rFonts w:eastAsia="Times New Roman"/>
        </w:rPr>
      </w:pPr>
      <w:r w:rsidRPr="004C4C78">
        <w:rPr>
          <w:rFonts w:eastAsia="Times New Roman"/>
        </w:rPr>
        <w:t>In Removal Proceedings</w:t>
      </w:r>
      <w:r w:rsidRPr="004C4C78">
        <w:rPr>
          <w:rFonts w:eastAsia="Times New Roman"/>
        </w:rPr>
        <w:tab/>
      </w:r>
      <w:r w:rsidRPr="004C4C78">
        <w:rPr>
          <w:rFonts w:eastAsia="Times New Roman"/>
        </w:rPr>
        <w:tab/>
        <w:t>)</w:t>
      </w:r>
    </w:p>
    <w:p w14:paraId="09380669" w14:textId="77777777" w:rsidR="0080717C" w:rsidRPr="004C4C78" w:rsidRDefault="0080717C" w:rsidP="0080717C">
      <w:pPr>
        <w:spacing w:line="480" w:lineRule="auto"/>
        <w:rPr>
          <w:rFonts w:eastAsia="SimSun"/>
          <w:b/>
        </w:rPr>
      </w:pPr>
      <w:r w:rsidRPr="004C4C78">
        <w:rPr>
          <w:rFonts w:eastAsia="Times New Roman"/>
        </w:rPr>
        <w:t>____________________________</w:t>
      </w:r>
    </w:p>
    <w:p w14:paraId="455AA7A9" w14:textId="77777777" w:rsidR="0080717C" w:rsidRPr="004C4C78" w:rsidRDefault="0080717C" w:rsidP="0080717C">
      <w:pPr>
        <w:spacing w:line="480" w:lineRule="auto"/>
        <w:jc w:val="center"/>
        <w:outlineLvl w:val="0"/>
      </w:pPr>
      <w:r w:rsidRPr="004C4C78">
        <w:rPr>
          <w:b/>
        </w:rPr>
        <w:t xml:space="preserve">Immigration Judge:  </w:t>
      </w:r>
      <w:r w:rsidRPr="004C4C78">
        <w:rPr>
          <w:b/>
        </w:rPr>
        <w:tab/>
        <w:t xml:space="preserve">Hearing Date: </w:t>
      </w:r>
    </w:p>
    <w:p w14:paraId="2BEED17D" w14:textId="77777777" w:rsidR="00B63ACB" w:rsidRPr="00210075" w:rsidRDefault="00B63ACB" w:rsidP="00B63ACB">
      <w:pPr>
        <w:spacing w:before="240" w:after="240"/>
        <w:contextualSpacing/>
        <w:rPr>
          <w:b/>
          <w:bCs/>
        </w:rPr>
      </w:pPr>
    </w:p>
    <w:p w14:paraId="03E771FE" w14:textId="77777777" w:rsidR="00B63ACB" w:rsidRPr="00210075" w:rsidRDefault="00B63ACB" w:rsidP="00B63ACB">
      <w:pPr>
        <w:spacing w:before="240" w:after="240"/>
        <w:contextualSpacing/>
        <w:jc w:val="center"/>
        <w:rPr>
          <w:b/>
          <w:bCs/>
        </w:rPr>
      </w:pPr>
      <w:r w:rsidRPr="00210075">
        <w:rPr>
          <w:b/>
          <w:bCs/>
        </w:rPr>
        <w:t xml:space="preserve">[PROPOSED] ORDER </w:t>
      </w:r>
      <w:r>
        <w:rPr>
          <w:b/>
          <w:bCs/>
        </w:rPr>
        <w:t>FOR THE MOTION TO REQUEST SAFEGUARDS</w:t>
      </w:r>
    </w:p>
    <w:p w14:paraId="610CDEFC" w14:textId="77777777" w:rsidR="00B63ACB" w:rsidRPr="00210075" w:rsidRDefault="00B63ACB" w:rsidP="00B63ACB">
      <w:pPr>
        <w:spacing w:before="240" w:after="240"/>
        <w:contextualSpacing/>
        <w:rPr>
          <w:b/>
          <w:bCs/>
        </w:rPr>
      </w:pPr>
    </w:p>
    <w:p w14:paraId="45D34EDA" w14:textId="77777777" w:rsidR="00B63ACB" w:rsidRPr="00210075" w:rsidRDefault="00B63ACB" w:rsidP="00B63ACB">
      <w:pPr>
        <w:spacing w:before="240" w:after="240"/>
        <w:contextualSpacing/>
        <w:rPr>
          <w:bCs/>
        </w:rPr>
      </w:pPr>
      <w:r w:rsidRPr="00210075">
        <w:rPr>
          <w:bCs/>
        </w:rPr>
        <w:t xml:space="preserve">Respondent’s Motion to Continue is HEREBY       </w:t>
      </w:r>
    </w:p>
    <w:p w14:paraId="5684CAD9" w14:textId="77777777" w:rsidR="00B63ACB" w:rsidRPr="00210075" w:rsidRDefault="00B63ACB" w:rsidP="00B63ACB">
      <w:pPr>
        <w:spacing w:before="240" w:after="240"/>
        <w:contextualSpacing/>
        <w:rPr>
          <w:bCs/>
        </w:rPr>
      </w:pPr>
      <w:r>
        <w:rPr>
          <w:bCs/>
          <w:noProof/>
        </w:rPr>
        <mc:AlternateContent>
          <mc:Choice Requires="wps">
            <w:drawing>
              <wp:anchor distT="0" distB="0" distL="114300" distR="114300" simplePos="0" relativeHeight="251659264" behindDoc="0" locked="0" layoutInCell="1" allowOverlap="1" wp14:anchorId="2CCD1557" wp14:editId="52B86C2B">
                <wp:simplePos x="0" y="0"/>
                <wp:positionH relativeFrom="column">
                  <wp:posOffset>1743075</wp:posOffset>
                </wp:positionH>
                <wp:positionV relativeFrom="paragraph">
                  <wp:posOffset>28575</wp:posOffset>
                </wp:positionV>
                <wp:extent cx="90805" cy="90805"/>
                <wp:effectExtent l="9525" t="12065" r="1397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1AB70D50" id="Rectangle 2" o:spid="_x0000_s1026" style="position:absolute;margin-left:137.25pt;margin-top:2.2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"/>
            </w:pict>
          </mc:Fallback>
        </mc:AlternateContent>
      </w:r>
      <w:r>
        <w:rPr>
          <w:bCs/>
          <w:noProof/>
        </w:rPr>
        <mc:AlternateContent>
          <mc:Choice Requires="wps">
            <w:drawing>
              <wp:anchor distT="0" distB="0" distL="114300" distR="114300" simplePos="0" relativeHeight="251660288" behindDoc="0" locked="0" layoutInCell="1" allowOverlap="1" wp14:anchorId="081A84FE" wp14:editId="7C6CAFCE">
                <wp:simplePos x="0" y="0"/>
                <wp:positionH relativeFrom="column">
                  <wp:posOffset>857250</wp:posOffset>
                </wp:positionH>
                <wp:positionV relativeFrom="paragraph">
                  <wp:posOffset>28575</wp:posOffset>
                </wp:positionV>
                <wp:extent cx="90805" cy="90805"/>
                <wp:effectExtent l="9525" t="12065" r="1397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rect w14:anchorId="2A51D8AB" id="Rectangle 1" o:spid="_x0000_s1026" style="position:absolute;margin-left:67.5pt;margin-top:2.2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"/>
            </w:pict>
          </mc:Fallback>
        </mc:AlternateContent>
      </w:r>
      <w:r w:rsidRPr="00210075">
        <w:rPr>
          <w:bCs/>
        </w:rPr>
        <w:t xml:space="preserve">GRANTED         DENIED       .   </w:t>
      </w:r>
    </w:p>
    <w:p w14:paraId="3F66D5E0" w14:textId="77777777" w:rsidR="00B63ACB" w:rsidRPr="00210075" w:rsidRDefault="00B63ACB" w:rsidP="00B63ACB">
      <w:pPr>
        <w:spacing w:before="240" w:after="240"/>
        <w:contextualSpacing/>
        <w:rPr>
          <w:bCs/>
        </w:rPr>
      </w:pPr>
    </w:p>
    <w:p w14:paraId="6727D38E" w14:textId="77777777" w:rsidR="00B63ACB" w:rsidRPr="00210075" w:rsidRDefault="00B63ACB" w:rsidP="00B63ACB">
      <w:pPr>
        <w:numPr>
          <w:ilvl w:val="0"/>
          <w:numId w:val="16"/>
        </w:numPr>
        <w:autoSpaceDE w:val="0"/>
        <w:autoSpaceDN w:val="0"/>
        <w:adjustRightInd w:val="0"/>
        <w:spacing w:before="240" w:after="240"/>
        <w:ind w:left="1080"/>
        <w:contextualSpacing/>
      </w:pPr>
      <w:r w:rsidRPr="00210075">
        <w:t>DHS does not oppose the motion.</w:t>
      </w:r>
    </w:p>
    <w:p w14:paraId="7DEBDEFA" w14:textId="77777777" w:rsidR="00B63ACB" w:rsidRPr="00210075" w:rsidRDefault="00B63ACB" w:rsidP="00B63ACB">
      <w:pPr>
        <w:numPr>
          <w:ilvl w:val="0"/>
          <w:numId w:val="16"/>
        </w:numPr>
        <w:autoSpaceDE w:val="0"/>
        <w:autoSpaceDN w:val="0"/>
        <w:adjustRightInd w:val="0"/>
        <w:spacing w:before="240" w:after="240"/>
        <w:ind w:left="1080"/>
        <w:contextualSpacing/>
      </w:pPr>
      <w:r w:rsidRPr="00210075">
        <w:t>The Respondent does not oppose the motion.</w:t>
      </w:r>
    </w:p>
    <w:p w14:paraId="5CD60857" w14:textId="77777777" w:rsidR="00B63ACB" w:rsidRPr="00210075" w:rsidRDefault="00B63ACB" w:rsidP="00B63ACB">
      <w:pPr>
        <w:numPr>
          <w:ilvl w:val="0"/>
          <w:numId w:val="16"/>
        </w:numPr>
        <w:autoSpaceDE w:val="0"/>
        <w:autoSpaceDN w:val="0"/>
        <w:adjustRightInd w:val="0"/>
        <w:spacing w:before="240" w:after="240"/>
        <w:ind w:left="1080"/>
        <w:contextualSpacing/>
      </w:pPr>
      <w:r w:rsidRPr="00210075">
        <w:t xml:space="preserve">A Response to the motion </w:t>
      </w:r>
      <w:proofErr w:type="gramStart"/>
      <w:r w:rsidRPr="00210075">
        <w:t>has not been filed</w:t>
      </w:r>
      <w:proofErr w:type="gramEnd"/>
      <w:r w:rsidRPr="00210075">
        <w:t xml:space="preserve"> with the court.</w:t>
      </w:r>
    </w:p>
    <w:p w14:paraId="1A0AE49F" w14:textId="77777777" w:rsidR="00B63ACB" w:rsidRPr="00210075" w:rsidRDefault="00B63ACB" w:rsidP="00B63ACB">
      <w:pPr>
        <w:numPr>
          <w:ilvl w:val="0"/>
          <w:numId w:val="16"/>
        </w:numPr>
        <w:autoSpaceDE w:val="0"/>
        <w:autoSpaceDN w:val="0"/>
        <w:adjustRightInd w:val="0"/>
        <w:spacing w:before="240" w:after="240"/>
        <w:ind w:left="1080"/>
        <w:contextualSpacing/>
      </w:pPr>
      <w:r w:rsidRPr="00210075">
        <w:t xml:space="preserve">Good Cause </w:t>
      </w:r>
      <w:proofErr w:type="gramStart"/>
      <w:r w:rsidRPr="00210075">
        <w:t>has been established</w:t>
      </w:r>
      <w:proofErr w:type="gramEnd"/>
      <w:r w:rsidRPr="00210075">
        <w:t xml:space="preserve"> for the motion.</w:t>
      </w:r>
    </w:p>
    <w:p w14:paraId="2EF17AA2" w14:textId="77777777" w:rsidR="00B63ACB" w:rsidRPr="00210075" w:rsidRDefault="00B63ACB" w:rsidP="00B63ACB">
      <w:pPr>
        <w:numPr>
          <w:ilvl w:val="0"/>
          <w:numId w:val="16"/>
        </w:numPr>
        <w:autoSpaceDE w:val="0"/>
        <w:autoSpaceDN w:val="0"/>
        <w:adjustRightInd w:val="0"/>
        <w:spacing w:before="240" w:after="240"/>
        <w:ind w:left="1080"/>
        <w:contextualSpacing/>
      </w:pPr>
      <w:r w:rsidRPr="00210075">
        <w:t>The Court agrees with the reasons stated in the opposition to the motion.</w:t>
      </w:r>
    </w:p>
    <w:p w14:paraId="00FA6EA6" w14:textId="77777777" w:rsidR="00B63ACB" w:rsidRPr="00210075" w:rsidRDefault="00B63ACB" w:rsidP="00B63ACB">
      <w:pPr>
        <w:numPr>
          <w:ilvl w:val="0"/>
          <w:numId w:val="16"/>
        </w:numPr>
        <w:autoSpaceDE w:val="0"/>
        <w:autoSpaceDN w:val="0"/>
        <w:adjustRightInd w:val="0"/>
        <w:spacing w:before="240" w:after="240"/>
        <w:ind w:left="1080"/>
        <w:contextualSpacing/>
      </w:pPr>
      <w:r>
        <w:t>The motion is untimely</w:t>
      </w:r>
      <w:r w:rsidRPr="00210075">
        <w:t>.</w:t>
      </w:r>
    </w:p>
    <w:p w14:paraId="227388F5" w14:textId="77777777" w:rsidR="00B63ACB" w:rsidRPr="00210075" w:rsidRDefault="00B63ACB" w:rsidP="00B63ACB">
      <w:pPr>
        <w:numPr>
          <w:ilvl w:val="0"/>
          <w:numId w:val="16"/>
        </w:numPr>
        <w:autoSpaceDE w:val="0"/>
        <w:autoSpaceDN w:val="0"/>
        <w:adjustRightInd w:val="0"/>
        <w:spacing w:before="240" w:after="240"/>
        <w:ind w:left="1080"/>
        <w:contextualSpacing/>
      </w:pPr>
      <w:r w:rsidRPr="00210075">
        <w:lastRenderedPageBreak/>
        <w:t>Other____________________________________________________.</w:t>
      </w:r>
    </w:p>
    <w:p w14:paraId="4559F0C0" w14:textId="77777777" w:rsidR="00B63ACB" w:rsidRPr="00210075" w:rsidRDefault="00B63ACB" w:rsidP="00B63ACB">
      <w:pPr>
        <w:spacing w:before="240" w:after="240"/>
        <w:contextualSpacing/>
        <w:rPr>
          <w:b/>
        </w:rPr>
      </w:pPr>
      <w:r w:rsidRPr="00210075">
        <w:rPr>
          <w:b/>
        </w:rPr>
        <w:t>DEADLINES</w:t>
      </w:r>
    </w:p>
    <w:p w14:paraId="2675E19C" w14:textId="77777777" w:rsidR="00B63ACB" w:rsidRPr="00210075" w:rsidRDefault="00B63ACB" w:rsidP="00B63ACB">
      <w:pPr>
        <w:numPr>
          <w:ilvl w:val="0"/>
          <w:numId w:val="16"/>
        </w:numPr>
        <w:autoSpaceDE w:val="0"/>
        <w:autoSpaceDN w:val="0"/>
        <w:adjustRightInd w:val="0"/>
        <w:spacing w:before="240" w:after="240"/>
        <w:ind w:left="1080"/>
        <w:contextualSpacing/>
      </w:pPr>
      <w:r w:rsidRPr="00210075">
        <w:t xml:space="preserve">The application(s) for relief </w:t>
      </w:r>
      <w:proofErr w:type="gramStart"/>
      <w:r w:rsidRPr="00210075">
        <w:t>must be filed</w:t>
      </w:r>
      <w:proofErr w:type="gramEnd"/>
      <w:r w:rsidRPr="00210075">
        <w:t xml:space="preserve"> by_____________________.</w:t>
      </w:r>
    </w:p>
    <w:p w14:paraId="135CF664" w14:textId="77777777" w:rsidR="00B63ACB" w:rsidRPr="00210075" w:rsidRDefault="00B63ACB" w:rsidP="00B63ACB">
      <w:pPr>
        <w:numPr>
          <w:ilvl w:val="0"/>
          <w:numId w:val="16"/>
        </w:numPr>
        <w:autoSpaceDE w:val="0"/>
        <w:autoSpaceDN w:val="0"/>
        <w:adjustRightInd w:val="0"/>
        <w:spacing w:before="240" w:after="240"/>
        <w:ind w:left="1080"/>
        <w:contextualSpacing/>
      </w:pPr>
      <w:r w:rsidRPr="00210075">
        <w:t>Other____________________________________________________.</w:t>
      </w:r>
    </w:p>
    <w:p w14:paraId="70651033" w14:textId="77777777" w:rsidR="00B63ACB" w:rsidRPr="00210075" w:rsidRDefault="00B63ACB" w:rsidP="00B63ACB">
      <w:pPr>
        <w:spacing w:before="240" w:after="240"/>
        <w:contextualSpacing/>
      </w:pPr>
    </w:p>
    <w:p w14:paraId="6D4936ED" w14:textId="4DFBFD45" w:rsidR="00B63ACB" w:rsidRPr="0080717C" w:rsidRDefault="00B63ACB" w:rsidP="0080717C">
      <w:pPr>
        <w:spacing w:before="240" w:after="240"/>
        <w:contextualSpacing/>
      </w:pPr>
      <w:r w:rsidRPr="00210075">
        <w:t>DATED:</w:t>
      </w:r>
      <w:r w:rsidRPr="00210075">
        <w:tab/>
      </w:r>
      <w:r w:rsidRPr="00210075">
        <w:tab/>
      </w:r>
      <w:r w:rsidRPr="00210075">
        <w:tab/>
      </w:r>
      <w:r w:rsidRPr="00210075">
        <w:tab/>
        <w:t>______________________________</w:t>
      </w:r>
      <w:r w:rsidRPr="00210075">
        <w:tab/>
      </w:r>
      <w:r w:rsidRPr="00210075">
        <w:tab/>
      </w:r>
      <w:r w:rsidRPr="00210075">
        <w:tab/>
      </w:r>
      <w:r w:rsidRPr="00210075">
        <w:tab/>
      </w:r>
      <w:r w:rsidRPr="00210075">
        <w:tab/>
      </w:r>
      <w:r w:rsidRPr="00210075">
        <w:tab/>
      </w:r>
      <w:r w:rsidRPr="00210075">
        <w:tab/>
        <w:t xml:space="preserve"> </w:t>
      </w:r>
      <w:r w:rsidRPr="00210075">
        <w:tab/>
      </w:r>
      <w:r w:rsidRPr="00210075">
        <w:tab/>
        <w:t>Immigration Judge</w:t>
      </w:r>
    </w:p>
    <w:p w14:paraId="793A5691" w14:textId="77777777" w:rsidR="00B63ACB" w:rsidRPr="004C4C78" w:rsidRDefault="00B63ACB" w:rsidP="00503DFD">
      <w:pPr>
        <w:spacing w:line="480" w:lineRule="auto"/>
        <w:rPr>
          <w:noProof/>
        </w:rPr>
      </w:pPr>
    </w:p>
    <w:sectPr w:rsidR="00B63ACB" w:rsidRPr="004C4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BD74D" w14:textId="77777777" w:rsidR="004F09AA" w:rsidRDefault="004F09AA" w:rsidP="00B170BB">
      <w:r>
        <w:separator/>
      </w:r>
    </w:p>
  </w:endnote>
  <w:endnote w:type="continuationSeparator" w:id="0">
    <w:p w14:paraId="7799EFC7" w14:textId="77777777" w:rsidR="004F09AA" w:rsidRDefault="004F09AA" w:rsidP="00B1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103476"/>
      <w:docPartObj>
        <w:docPartGallery w:val="Page Numbers (Bottom of Page)"/>
        <w:docPartUnique/>
      </w:docPartObj>
    </w:sdtPr>
    <w:sdtEndPr>
      <w:rPr>
        <w:noProof/>
      </w:rPr>
    </w:sdtEndPr>
    <w:sdtContent>
      <w:p w14:paraId="1EE4DC12" w14:textId="51B2FDD0" w:rsidR="005F0D59" w:rsidRDefault="005F0D59">
        <w:pPr>
          <w:pStyle w:val="Footer"/>
          <w:jc w:val="right"/>
        </w:pPr>
        <w:r>
          <w:fldChar w:fldCharType="begin"/>
        </w:r>
        <w:r>
          <w:instrText xml:space="preserve"> PAGE   \* MERGEFORMAT </w:instrText>
        </w:r>
        <w:r>
          <w:fldChar w:fldCharType="separate"/>
        </w:r>
        <w:r w:rsidR="009F6499">
          <w:rPr>
            <w:noProof/>
          </w:rPr>
          <w:t>4</w:t>
        </w:r>
        <w:r>
          <w:rPr>
            <w:noProof/>
          </w:rPr>
          <w:fldChar w:fldCharType="end"/>
        </w:r>
      </w:p>
    </w:sdtContent>
  </w:sdt>
  <w:p w14:paraId="519698C5" w14:textId="77777777" w:rsidR="002723CF" w:rsidRDefault="00272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82FA9" w14:textId="77777777" w:rsidR="004F09AA" w:rsidRDefault="004F09AA" w:rsidP="00B170BB">
      <w:r>
        <w:separator/>
      </w:r>
    </w:p>
  </w:footnote>
  <w:footnote w:type="continuationSeparator" w:id="0">
    <w:p w14:paraId="6AFAD470" w14:textId="77777777" w:rsidR="004F09AA" w:rsidRDefault="004F09AA" w:rsidP="00B170BB">
      <w:r>
        <w:continuationSeparator/>
      </w:r>
    </w:p>
  </w:footnote>
  <w:footnote w:id="1">
    <w:p w14:paraId="25148817" w14:textId="25DE6F57" w:rsidR="00FC56F0" w:rsidRDefault="00FC56F0">
      <w:pPr>
        <w:pStyle w:val="FootnoteText"/>
      </w:pPr>
      <w:r w:rsidRPr="009F6499">
        <w:rPr>
          <w:rStyle w:val="FootnoteReference"/>
          <w:highlight w:val="red"/>
        </w:rPr>
        <w:footnoteRef/>
      </w:r>
      <w:r w:rsidRPr="009F6499">
        <w:rPr>
          <w:highlight w:val="red"/>
        </w:rPr>
        <w:t xml:space="preserve"> </w:t>
      </w:r>
      <w:r w:rsidRPr="009F6499">
        <w:rPr>
          <w:rFonts w:ascii="Times New Roman" w:hAnsi="Times New Roman" w:cs="Times New Roman"/>
          <w:color w:val="auto"/>
          <w:sz w:val="24"/>
          <w:szCs w:val="24"/>
          <w:highlight w:val="red"/>
        </w:rPr>
        <w:t>Created by Nora E Kirk and Oluwadamilola Obaro through the NYU Immigrant Rights Clinic.</w:t>
      </w:r>
    </w:p>
  </w:footnote>
  <w:footnote w:id="2">
    <w:p w14:paraId="1E56D9A3" w14:textId="11B2721F" w:rsidR="002723CF" w:rsidRPr="00C516BB" w:rsidRDefault="002723CF" w:rsidP="00641780">
      <w:pPr>
        <w:spacing w:after="240"/>
        <w:rPr>
          <w:rFonts w:eastAsia="Times New Roman"/>
          <w:sz w:val="20"/>
          <w:szCs w:val="20"/>
        </w:rPr>
      </w:pPr>
      <w:r w:rsidRPr="00C516BB">
        <w:rPr>
          <w:rStyle w:val="FootnoteReference"/>
          <w:sz w:val="20"/>
          <w:szCs w:val="20"/>
        </w:rPr>
        <w:footnoteRef/>
      </w:r>
      <w:r w:rsidRPr="00C516BB">
        <w:rPr>
          <w:sz w:val="20"/>
          <w:szCs w:val="20"/>
        </w:rPr>
        <w:t xml:space="preserve"> In </w:t>
      </w:r>
      <w:r w:rsidRPr="00C516BB">
        <w:rPr>
          <w:i/>
          <w:sz w:val="20"/>
          <w:szCs w:val="20"/>
        </w:rPr>
        <w:t>Lane</w:t>
      </w:r>
      <w:r w:rsidRPr="00C516BB">
        <w:rPr>
          <w:sz w:val="20"/>
          <w:szCs w:val="20"/>
        </w:rPr>
        <w:t>, the Court considered court-provided accommodations under Title II of the Americans with Disabilities Act</w:t>
      </w:r>
      <w:r w:rsidR="00203A42">
        <w:rPr>
          <w:sz w:val="20"/>
          <w:szCs w:val="20"/>
        </w:rPr>
        <w:t xml:space="preserve"> (ADA)</w:t>
      </w:r>
      <w:r w:rsidRPr="00C516BB">
        <w:rPr>
          <w:sz w:val="20"/>
          <w:szCs w:val="20"/>
        </w:rPr>
        <w:t xml:space="preserve">. Although the ADA does not apply to federal entities, both Acts prescribe the exact same obligations and courts generally consider both provisions interchangeably. </w:t>
      </w:r>
      <w:r w:rsidRPr="00C516BB">
        <w:rPr>
          <w:i/>
          <w:sz w:val="20"/>
          <w:szCs w:val="20"/>
        </w:rPr>
        <w:t xml:space="preserve">See </w:t>
      </w:r>
      <w:r w:rsidRPr="00C516BB">
        <w:rPr>
          <w:rFonts w:eastAsia="Times New Roman"/>
          <w:i/>
          <w:sz w:val="20"/>
          <w:szCs w:val="20"/>
        </w:rPr>
        <w:t>Harris v. Mills</w:t>
      </w:r>
      <w:r w:rsidRPr="00C516BB">
        <w:rPr>
          <w:rFonts w:eastAsia="Times New Roman"/>
          <w:sz w:val="20"/>
          <w:szCs w:val="20"/>
        </w:rPr>
        <w:t>, 572 F.3d 66, 73 (</w:t>
      </w:r>
      <w:proofErr w:type="gramStart"/>
      <w:r w:rsidRPr="00C516BB">
        <w:rPr>
          <w:rFonts w:eastAsia="Times New Roman"/>
          <w:sz w:val="20"/>
          <w:szCs w:val="20"/>
        </w:rPr>
        <w:t>2d</w:t>
      </w:r>
      <w:proofErr w:type="gramEnd"/>
      <w:r w:rsidRPr="00C516BB">
        <w:rPr>
          <w:rFonts w:eastAsia="Times New Roman"/>
          <w:sz w:val="20"/>
          <w:szCs w:val="20"/>
        </w:rPr>
        <w:t xml:space="preserve"> Cir. 2009) (“[I]n most cases, the standards are the same for actions under both statutes.”)</w:t>
      </w:r>
      <w:r>
        <w:rPr>
          <w:rFonts w:eastAsia="Times New Roman"/>
          <w:sz w:val="20"/>
          <w:szCs w:val="20"/>
        </w:rPr>
        <w:t>.</w:t>
      </w:r>
      <w:r w:rsidRPr="00C516BB">
        <w:rPr>
          <w:rFonts w:eastAsia="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06F"/>
    <w:multiLevelType w:val="hybridMultilevel"/>
    <w:tmpl w:val="7DBAC782"/>
    <w:lvl w:ilvl="0" w:tplc="F684F1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937D8"/>
    <w:multiLevelType w:val="hybridMultilevel"/>
    <w:tmpl w:val="2CF88B58"/>
    <w:lvl w:ilvl="0" w:tplc="FF16B7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C0F49"/>
    <w:multiLevelType w:val="hybridMultilevel"/>
    <w:tmpl w:val="20548304"/>
    <w:lvl w:ilvl="0" w:tplc="34089C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14D9C"/>
    <w:multiLevelType w:val="hybridMultilevel"/>
    <w:tmpl w:val="487050DE"/>
    <w:lvl w:ilvl="0" w:tplc="9F04F6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10928"/>
    <w:multiLevelType w:val="hybridMultilevel"/>
    <w:tmpl w:val="E7265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129"/>
    <w:multiLevelType w:val="hybridMultilevel"/>
    <w:tmpl w:val="0A3859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6C57B2"/>
    <w:multiLevelType w:val="hybridMultilevel"/>
    <w:tmpl w:val="7C52E7B6"/>
    <w:lvl w:ilvl="0" w:tplc="136ECF9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34F32"/>
    <w:multiLevelType w:val="hybridMultilevel"/>
    <w:tmpl w:val="20548304"/>
    <w:lvl w:ilvl="0" w:tplc="34089C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5157B"/>
    <w:multiLevelType w:val="hybridMultilevel"/>
    <w:tmpl w:val="B2C48B22"/>
    <w:lvl w:ilvl="0" w:tplc="0574ACA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E47965"/>
    <w:multiLevelType w:val="hybridMultilevel"/>
    <w:tmpl w:val="9626A4FA"/>
    <w:lvl w:ilvl="0" w:tplc="C2CCC1A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C020C"/>
    <w:multiLevelType w:val="hybridMultilevel"/>
    <w:tmpl w:val="7D7A16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814A7D"/>
    <w:multiLevelType w:val="hybridMultilevel"/>
    <w:tmpl w:val="DD603FA8"/>
    <w:lvl w:ilvl="0" w:tplc="6D0AAB00">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A7D7D"/>
    <w:multiLevelType w:val="hybridMultilevel"/>
    <w:tmpl w:val="34FC19D6"/>
    <w:lvl w:ilvl="0" w:tplc="2ECE11C6">
      <w:start w:val="5"/>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831D63"/>
    <w:multiLevelType w:val="hybridMultilevel"/>
    <w:tmpl w:val="C5607BF2"/>
    <w:lvl w:ilvl="0" w:tplc="8040910E">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85725"/>
    <w:multiLevelType w:val="hybridMultilevel"/>
    <w:tmpl w:val="BF743E5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C0C1E"/>
    <w:multiLevelType w:val="hybridMultilevel"/>
    <w:tmpl w:val="EE7C9A00"/>
    <w:lvl w:ilvl="0" w:tplc="B43C025C">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0"/>
  </w:num>
  <w:num w:numId="5">
    <w:abstractNumId w:val="1"/>
  </w:num>
  <w:num w:numId="6">
    <w:abstractNumId w:val="4"/>
  </w:num>
  <w:num w:numId="7">
    <w:abstractNumId w:val="9"/>
  </w:num>
  <w:num w:numId="8">
    <w:abstractNumId w:val="14"/>
  </w:num>
  <w:num w:numId="9">
    <w:abstractNumId w:val="2"/>
  </w:num>
  <w:num w:numId="10">
    <w:abstractNumId w:val="10"/>
  </w:num>
  <w:num w:numId="11">
    <w:abstractNumId w:val="5"/>
  </w:num>
  <w:num w:numId="12">
    <w:abstractNumId w:val="7"/>
  </w:num>
  <w:num w:numId="13">
    <w:abstractNumId w:val="12"/>
  </w:num>
  <w:num w:numId="14">
    <w:abstractNumId w:val="15"/>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1t7Q0NTIzNLEwMjZU0lEKTi0uzszPAykwrgUA3+wDbywAAAA="/>
  </w:docVars>
  <w:rsids>
    <w:rsidRoot w:val="00F72E6F"/>
    <w:rsid w:val="00001D49"/>
    <w:rsid w:val="00003B3E"/>
    <w:rsid w:val="00004E08"/>
    <w:rsid w:val="00004F10"/>
    <w:rsid w:val="00006596"/>
    <w:rsid w:val="00012B27"/>
    <w:rsid w:val="0001316C"/>
    <w:rsid w:val="00014169"/>
    <w:rsid w:val="00015F77"/>
    <w:rsid w:val="00016F48"/>
    <w:rsid w:val="00017C80"/>
    <w:rsid w:val="00026F9C"/>
    <w:rsid w:val="0003154B"/>
    <w:rsid w:val="00032E65"/>
    <w:rsid w:val="0003374F"/>
    <w:rsid w:val="000355EB"/>
    <w:rsid w:val="000431BB"/>
    <w:rsid w:val="000442B4"/>
    <w:rsid w:val="000504B2"/>
    <w:rsid w:val="000632E6"/>
    <w:rsid w:val="00072B3F"/>
    <w:rsid w:val="000752E8"/>
    <w:rsid w:val="0007563D"/>
    <w:rsid w:val="00076F26"/>
    <w:rsid w:val="000809CE"/>
    <w:rsid w:val="00082B1F"/>
    <w:rsid w:val="00091D1A"/>
    <w:rsid w:val="00092A2A"/>
    <w:rsid w:val="00095C23"/>
    <w:rsid w:val="00096DDC"/>
    <w:rsid w:val="000A4AB4"/>
    <w:rsid w:val="000A5E6B"/>
    <w:rsid w:val="000A6741"/>
    <w:rsid w:val="000A7B5D"/>
    <w:rsid w:val="000B0A54"/>
    <w:rsid w:val="000B346D"/>
    <w:rsid w:val="000B530F"/>
    <w:rsid w:val="000B58BB"/>
    <w:rsid w:val="000B65D6"/>
    <w:rsid w:val="000B7030"/>
    <w:rsid w:val="000C2146"/>
    <w:rsid w:val="000C5726"/>
    <w:rsid w:val="000C67C2"/>
    <w:rsid w:val="000C7AD3"/>
    <w:rsid w:val="000D12F4"/>
    <w:rsid w:val="000D161A"/>
    <w:rsid w:val="000D2473"/>
    <w:rsid w:val="000D3243"/>
    <w:rsid w:val="000D5949"/>
    <w:rsid w:val="000E4CBF"/>
    <w:rsid w:val="000E506B"/>
    <w:rsid w:val="000E5CB3"/>
    <w:rsid w:val="000E71E3"/>
    <w:rsid w:val="000E786F"/>
    <w:rsid w:val="000F3AEE"/>
    <w:rsid w:val="001072C8"/>
    <w:rsid w:val="001100FD"/>
    <w:rsid w:val="00110427"/>
    <w:rsid w:val="001126FC"/>
    <w:rsid w:val="001129DE"/>
    <w:rsid w:val="001135C7"/>
    <w:rsid w:val="001148D7"/>
    <w:rsid w:val="00117C94"/>
    <w:rsid w:val="00121C00"/>
    <w:rsid w:val="001233FC"/>
    <w:rsid w:val="00125439"/>
    <w:rsid w:val="00126B15"/>
    <w:rsid w:val="0012730E"/>
    <w:rsid w:val="00131AAE"/>
    <w:rsid w:val="00132873"/>
    <w:rsid w:val="00141B95"/>
    <w:rsid w:val="0014361A"/>
    <w:rsid w:val="0014749D"/>
    <w:rsid w:val="00152592"/>
    <w:rsid w:val="0015262C"/>
    <w:rsid w:val="001560B8"/>
    <w:rsid w:val="00163519"/>
    <w:rsid w:val="001723DE"/>
    <w:rsid w:val="00172882"/>
    <w:rsid w:val="001747F4"/>
    <w:rsid w:val="0017493F"/>
    <w:rsid w:val="00180C4F"/>
    <w:rsid w:val="001830DA"/>
    <w:rsid w:val="001863DC"/>
    <w:rsid w:val="0018787F"/>
    <w:rsid w:val="00192DF3"/>
    <w:rsid w:val="00193844"/>
    <w:rsid w:val="00197A98"/>
    <w:rsid w:val="001A0BB3"/>
    <w:rsid w:val="001B284B"/>
    <w:rsid w:val="001B2C01"/>
    <w:rsid w:val="001C6238"/>
    <w:rsid w:val="001D1B8C"/>
    <w:rsid w:val="001D37C4"/>
    <w:rsid w:val="001D53E7"/>
    <w:rsid w:val="001E51DF"/>
    <w:rsid w:val="001E6FF9"/>
    <w:rsid w:val="001E7CA8"/>
    <w:rsid w:val="001F4077"/>
    <w:rsid w:val="001F557A"/>
    <w:rsid w:val="00203A42"/>
    <w:rsid w:val="002050DE"/>
    <w:rsid w:val="00207C07"/>
    <w:rsid w:val="00207F9F"/>
    <w:rsid w:val="00211D44"/>
    <w:rsid w:val="002126A9"/>
    <w:rsid w:val="00216293"/>
    <w:rsid w:val="002232FE"/>
    <w:rsid w:val="00223D80"/>
    <w:rsid w:val="002303EC"/>
    <w:rsid w:val="002355FD"/>
    <w:rsid w:val="002376D6"/>
    <w:rsid w:val="00241DD6"/>
    <w:rsid w:val="002447D3"/>
    <w:rsid w:val="0024673D"/>
    <w:rsid w:val="00253520"/>
    <w:rsid w:val="00253AE4"/>
    <w:rsid w:val="00255C2F"/>
    <w:rsid w:val="002560D4"/>
    <w:rsid w:val="00257A14"/>
    <w:rsid w:val="002603D5"/>
    <w:rsid w:val="0026078E"/>
    <w:rsid w:val="00263B63"/>
    <w:rsid w:val="002653AE"/>
    <w:rsid w:val="00266729"/>
    <w:rsid w:val="00270440"/>
    <w:rsid w:val="002723CF"/>
    <w:rsid w:val="00280005"/>
    <w:rsid w:val="002813B8"/>
    <w:rsid w:val="00283DAD"/>
    <w:rsid w:val="00285141"/>
    <w:rsid w:val="00287D51"/>
    <w:rsid w:val="00296C61"/>
    <w:rsid w:val="002970BD"/>
    <w:rsid w:val="002A0748"/>
    <w:rsid w:val="002A10C6"/>
    <w:rsid w:val="002A1327"/>
    <w:rsid w:val="002A1503"/>
    <w:rsid w:val="002A3886"/>
    <w:rsid w:val="002A4294"/>
    <w:rsid w:val="002A691D"/>
    <w:rsid w:val="002B007C"/>
    <w:rsid w:val="002B0AD0"/>
    <w:rsid w:val="002B107F"/>
    <w:rsid w:val="002B199F"/>
    <w:rsid w:val="002B3474"/>
    <w:rsid w:val="002B7D8E"/>
    <w:rsid w:val="002C0124"/>
    <w:rsid w:val="002C2047"/>
    <w:rsid w:val="002C39A4"/>
    <w:rsid w:val="002D122A"/>
    <w:rsid w:val="002D26A1"/>
    <w:rsid w:val="002D3739"/>
    <w:rsid w:val="002D7E7F"/>
    <w:rsid w:val="002E3F6F"/>
    <w:rsid w:val="002E6608"/>
    <w:rsid w:val="002F3D80"/>
    <w:rsid w:val="002F530B"/>
    <w:rsid w:val="002F5833"/>
    <w:rsid w:val="002F5933"/>
    <w:rsid w:val="00300E9C"/>
    <w:rsid w:val="00302FF1"/>
    <w:rsid w:val="00303C0A"/>
    <w:rsid w:val="00303F23"/>
    <w:rsid w:val="003118D6"/>
    <w:rsid w:val="00313D0F"/>
    <w:rsid w:val="00315D16"/>
    <w:rsid w:val="00315F4E"/>
    <w:rsid w:val="00316488"/>
    <w:rsid w:val="00320CA0"/>
    <w:rsid w:val="00322BE6"/>
    <w:rsid w:val="0032305D"/>
    <w:rsid w:val="00327597"/>
    <w:rsid w:val="00332BED"/>
    <w:rsid w:val="00333ED1"/>
    <w:rsid w:val="00335FDE"/>
    <w:rsid w:val="00336C09"/>
    <w:rsid w:val="00342FDE"/>
    <w:rsid w:val="00344A14"/>
    <w:rsid w:val="003472B9"/>
    <w:rsid w:val="00350658"/>
    <w:rsid w:val="00357F10"/>
    <w:rsid w:val="00361909"/>
    <w:rsid w:val="00362B1B"/>
    <w:rsid w:val="00362D7E"/>
    <w:rsid w:val="003658D1"/>
    <w:rsid w:val="00365FBD"/>
    <w:rsid w:val="0036632A"/>
    <w:rsid w:val="00366990"/>
    <w:rsid w:val="003736E6"/>
    <w:rsid w:val="00376C6F"/>
    <w:rsid w:val="0038092D"/>
    <w:rsid w:val="003843CA"/>
    <w:rsid w:val="00385A52"/>
    <w:rsid w:val="00385C76"/>
    <w:rsid w:val="00386852"/>
    <w:rsid w:val="003943AD"/>
    <w:rsid w:val="00396BAC"/>
    <w:rsid w:val="003A7C92"/>
    <w:rsid w:val="003B3B45"/>
    <w:rsid w:val="003B664F"/>
    <w:rsid w:val="003C061E"/>
    <w:rsid w:val="003C0FDB"/>
    <w:rsid w:val="003C79EA"/>
    <w:rsid w:val="003D0FAA"/>
    <w:rsid w:val="003D2806"/>
    <w:rsid w:val="003D3FD0"/>
    <w:rsid w:val="003D762E"/>
    <w:rsid w:val="003E06BF"/>
    <w:rsid w:val="003E5827"/>
    <w:rsid w:val="003F1492"/>
    <w:rsid w:val="003F27E9"/>
    <w:rsid w:val="003F4DDD"/>
    <w:rsid w:val="00406DBB"/>
    <w:rsid w:val="004071DD"/>
    <w:rsid w:val="00410935"/>
    <w:rsid w:val="00410A7F"/>
    <w:rsid w:val="00411E66"/>
    <w:rsid w:val="00412988"/>
    <w:rsid w:val="00417EBA"/>
    <w:rsid w:val="0042131D"/>
    <w:rsid w:val="004231FD"/>
    <w:rsid w:val="00423A87"/>
    <w:rsid w:val="004246BE"/>
    <w:rsid w:val="00425394"/>
    <w:rsid w:val="004264AC"/>
    <w:rsid w:val="0043487B"/>
    <w:rsid w:val="00435488"/>
    <w:rsid w:val="0044743E"/>
    <w:rsid w:val="00451775"/>
    <w:rsid w:val="004527AC"/>
    <w:rsid w:val="00462ACA"/>
    <w:rsid w:val="004737C1"/>
    <w:rsid w:val="00487B61"/>
    <w:rsid w:val="00491912"/>
    <w:rsid w:val="00493C38"/>
    <w:rsid w:val="004A04D8"/>
    <w:rsid w:val="004A12A7"/>
    <w:rsid w:val="004A2489"/>
    <w:rsid w:val="004A2E29"/>
    <w:rsid w:val="004A7004"/>
    <w:rsid w:val="004B652B"/>
    <w:rsid w:val="004C18E3"/>
    <w:rsid w:val="004C2AC8"/>
    <w:rsid w:val="004C4C78"/>
    <w:rsid w:val="004D77A1"/>
    <w:rsid w:val="004E24EC"/>
    <w:rsid w:val="004E581E"/>
    <w:rsid w:val="004E6106"/>
    <w:rsid w:val="004F09AA"/>
    <w:rsid w:val="004F5398"/>
    <w:rsid w:val="004F7AE4"/>
    <w:rsid w:val="0050299E"/>
    <w:rsid w:val="00503DFD"/>
    <w:rsid w:val="0050689E"/>
    <w:rsid w:val="00506B47"/>
    <w:rsid w:val="005111D1"/>
    <w:rsid w:val="005130E0"/>
    <w:rsid w:val="005131A4"/>
    <w:rsid w:val="00515277"/>
    <w:rsid w:val="00517E6B"/>
    <w:rsid w:val="00520751"/>
    <w:rsid w:val="00525094"/>
    <w:rsid w:val="005252E9"/>
    <w:rsid w:val="005303B4"/>
    <w:rsid w:val="00532840"/>
    <w:rsid w:val="00543B0B"/>
    <w:rsid w:val="00545A33"/>
    <w:rsid w:val="00547234"/>
    <w:rsid w:val="00552908"/>
    <w:rsid w:val="00555BDA"/>
    <w:rsid w:val="00560690"/>
    <w:rsid w:val="005612FB"/>
    <w:rsid w:val="005657D5"/>
    <w:rsid w:val="00565E40"/>
    <w:rsid w:val="00574C62"/>
    <w:rsid w:val="005778BD"/>
    <w:rsid w:val="00583A96"/>
    <w:rsid w:val="0058468B"/>
    <w:rsid w:val="0058501D"/>
    <w:rsid w:val="00585876"/>
    <w:rsid w:val="005912FA"/>
    <w:rsid w:val="00594182"/>
    <w:rsid w:val="005966B7"/>
    <w:rsid w:val="00596B2C"/>
    <w:rsid w:val="005A3203"/>
    <w:rsid w:val="005B1182"/>
    <w:rsid w:val="005B3F5A"/>
    <w:rsid w:val="005C118E"/>
    <w:rsid w:val="005C1A73"/>
    <w:rsid w:val="005D04C9"/>
    <w:rsid w:val="005D22E8"/>
    <w:rsid w:val="005D651C"/>
    <w:rsid w:val="005D71F7"/>
    <w:rsid w:val="005E1ECC"/>
    <w:rsid w:val="005E2F9D"/>
    <w:rsid w:val="005E3019"/>
    <w:rsid w:val="005E41D1"/>
    <w:rsid w:val="005E6C3C"/>
    <w:rsid w:val="005F0D59"/>
    <w:rsid w:val="005F129D"/>
    <w:rsid w:val="005F4BED"/>
    <w:rsid w:val="00605752"/>
    <w:rsid w:val="00606663"/>
    <w:rsid w:val="00616276"/>
    <w:rsid w:val="00620AF0"/>
    <w:rsid w:val="00626230"/>
    <w:rsid w:val="00626A62"/>
    <w:rsid w:val="006308FC"/>
    <w:rsid w:val="00631F99"/>
    <w:rsid w:val="00632056"/>
    <w:rsid w:val="006321A8"/>
    <w:rsid w:val="00640585"/>
    <w:rsid w:val="00641780"/>
    <w:rsid w:val="00642D29"/>
    <w:rsid w:val="00643276"/>
    <w:rsid w:val="00643F22"/>
    <w:rsid w:val="00645C4E"/>
    <w:rsid w:val="0065087C"/>
    <w:rsid w:val="00652EA2"/>
    <w:rsid w:val="00652F9F"/>
    <w:rsid w:val="00657CE1"/>
    <w:rsid w:val="006604D8"/>
    <w:rsid w:val="00660CF8"/>
    <w:rsid w:val="00660D75"/>
    <w:rsid w:val="00660F3D"/>
    <w:rsid w:val="00661066"/>
    <w:rsid w:val="006667C9"/>
    <w:rsid w:val="00674DC3"/>
    <w:rsid w:val="00675D94"/>
    <w:rsid w:val="00680174"/>
    <w:rsid w:val="00681318"/>
    <w:rsid w:val="00682789"/>
    <w:rsid w:val="00690173"/>
    <w:rsid w:val="0069101B"/>
    <w:rsid w:val="00696937"/>
    <w:rsid w:val="00696CFB"/>
    <w:rsid w:val="006971E0"/>
    <w:rsid w:val="00697684"/>
    <w:rsid w:val="006A1A43"/>
    <w:rsid w:val="006A6840"/>
    <w:rsid w:val="006A78DE"/>
    <w:rsid w:val="006B03F1"/>
    <w:rsid w:val="006B1EA9"/>
    <w:rsid w:val="006B2F28"/>
    <w:rsid w:val="006C618E"/>
    <w:rsid w:val="006C744C"/>
    <w:rsid w:val="006C794E"/>
    <w:rsid w:val="006D2D07"/>
    <w:rsid w:val="006D5B5B"/>
    <w:rsid w:val="006D5E9C"/>
    <w:rsid w:val="006D6255"/>
    <w:rsid w:val="006D7D3C"/>
    <w:rsid w:val="006E27B2"/>
    <w:rsid w:val="006E372C"/>
    <w:rsid w:val="006E498A"/>
    <w:rsid w:val="006E5A15"/>
    <w:rsid w:val="006F14FF"/>
    <w:rsid w:val="006F5FEC"/>
    <w:rsid w:val="006F71D1"/>
    <w:rsid w:val="006F7985"/>
    <w:rsid w:val="00700C68"/>
    <w:rsid w:val="00702C04"/>
    <w:rsid w:val="00706BCF"/>
    <w:rsid w:val="00707869"/>
    <w:rsid w:val="007110D9"/>
    <w:rsid w:val="00712168"/>
    <w:rsid w:val="00712900"/>
    <w:rsid w:val="00714F78"/>
    <w:rsid w:val="00724773"/>
    <w:rsid w:val="00731D3C"/>
    <w:rsid w:val="00733124"/>
    <w:rsid w:val="00735890"/>
    <w:rsid w:val="00735DA4"/>
    <w:rsid w:val="00740B43"/>
    <w:rsid w:val="00742C4F"/>
    <w:rsid w:val="0074543F"/>
    <w:rsid w:val="007471CA"/>
    <w:rsid w:val="00750BFF"/>
    <w:rsid w:val="00755747"/>
    <w:rsid w:val="0075576C"/>
    <w:rsid w:val="007562CF"/>
    <w:rsid w:val="007577EF"/>
    <w:rsid w:val="007603FA"/>
    <w:rsid w:val="007604E3"/>
    <w:rsid w:val="0076051F"/>
    <w:rsid w:val="00760A3A"/>
    <w:rsid w:val="00765FC6"/>
    <w:rsid w:val="007711C1"/>
    <w:rsid w:val="00780EE4"/>
    <w:rsid w:val="0078245D"/>
    <w:rsid w:val="00787C32"/>
    <w:rsid w:val="00792331"/>
    <w:rsid w:val="00792C48"/>
    <w:rsid w:val="007935A8"/>
    <w:rsid w:val="007942D5"/>
    <w:rsid w:val="00797035"/>
    <w:rsid w:val="007972C3"/>
    <w:rsid w:val="00797EAF"/>
    <w:rsid w:val="007A11D0"/>
    <w:rsid w:val="007A2EDE"/>
    <w:rsid w:val="007A3416"/>
    <w:rsid w:val="007A4B12"/>
    <w:rsid w:val="007B0452"/>
    <w:rsid w:val="007B3A8F"/>
    <w:rsid w:val="007B446C"/>
    <w:rsid w:val="007B525A"/>
    <w:rsid w:val="007B7949"/>
    <w:rsid w:val="007C2ECA"/>
    <w:rsid w:val="007C395A"/>
    <w:rsid w:val="007C4144"/>
    <w:rsid w:val="007C5854"/>
    <w:rsid w:val="007C6591"/>
    <w:rsid w:val="007C6B5D"/>
    <w:rsid w:val="007D0849"/>
    <w:rsid w:val="007D2C96"/>
    <w:rsid w:val="007D3616"/>
    <w:rsid w:val="007D6311"/>
    <w:rsid w:val="007D6CD7"/>
    <w:rsid w:val="007D7A3B"/>
    <w:rsid w:val="007D7FC2"/>
    <w:rsid w:val="007F0EFF"/>
    <w:rsid w:val="007F19E5"/>
    <w:rsid w:val="007F2AF9"/>
    <w:rsid w:val="007F7AEB"/>
    <w:rsid w:val="008003AB"/>
    <w:rsid w:val="00803474"/>
    <w:rsid w:val="00804B3E"/>
    <w:rsid w:val="0080657F"/>
    <w:rsid w:val="0080717C"/>
    <w:rsid w:val="0081584D"/>
    <w:rsid w:val="00817FB8"/>
    <w:rsid w:val="00821C41"/>
    <w:rsid w:val="008230E6"/>
    <w:rsid w:val="00827988"/>
    <w:rsid w:val="00840CA1"/>
    <w:rsid w:val="0084377A"/>
    <w:rsid w:val="00850292"/>
    <w:rsid w:val="0085109D"/>
    <w:rsid w:val="00854ADE"/>
    <w:rsid w:val="00860D1C"/>
    <w:rsid w:val="008668E9"/>
    <w:rsid w:val="00866BD6"/>
    <w:rsid w:val="008710A5"/>
    <w:rsid w:val="008807A0"/>
    <w:rsid w:val="00884FEF"/>
    <w:rsid w:val="00895AFF"/>
    <w:rsid w:val="00895E4B"/>
    <w:rsid w:val="008A30B4"/>
    <w:rsid w:val="008A5BD4"/>
    <w:rsid w:val="008B15B2"/>
    <w:rsid w:val="008B326D"/>
    <w:rsid w:val="008C3306"/>
    <w:rsid w:val="008C440B"/>
    <w:rsid w:val="008C54E9"/>
    <w:rsid w:val="008C5B1C"/>
    <w:rsid w:val="008D1D0E"/>
    <w:rsid w:val="008D3F4E"/>
    <w:rsid w:val="008D404A"/>
    <w:rsid w:val="008E312C"/>
    <w:rsid w:val="008E49EE"/>
    <w:rsid w:val="008F08CE"/>
    <w:rsid w:val="008F3413"/>
    <w:rsid w:val="008F6B63"/>
    <w:rsid w:val="009001E6"/>
    <w:rsid w:val="009013E3"/>
    <w:rsid w:val="00902A8F"/>
    <w:rsid w:val="009031D7"/>
    <w:rsid w:val="009049FF"/>
    <w:rsid w:val="00906E7B"/>
    <w:rsid w:val="0091571F"/>
    <w:rsid w:val="00917574"/>
    <w:rsid w:val="00921D79"/>
    <w:rsid w:val="00931302"/>
    <w:rsid w:val="009348DD"/>
    <w:rsid w:val="00935323"/>
    <w:rsid w:val="00935DF1"/>
    <w:rsid w:val="009372D7"/>
    <w:rsid w:val="009404BB"/>
    <w:rsid w:val="00940AE8"/>
    <w:rsid w:val="00940F1A"/>
    <w:rsid w:val="00951036"/>
    <w:rsid w:val="009522E4"/>
    <w:rsid w:val="00953DA3"/>
    <w:rsid w:val="00953FC6"/>
    <w:rsid w:val="00955C77"/>
    <w:rsid w:val="009573CF"/>
    <w:rsid w:val="00961A78"/>
    <w:rsid w:val="00967502"/>
    <w:rsid w:val="00970258"/>
    <w:rsid w:val="009717AB"/>
    <w:rsid w:val="00973334"/>
    <w:rsid w:val="0098450C"/>
    <w:rsid w:val="00984BE8"/>
    <w:rsid w:val="00984E52"/>
    <w:rsid w:val="00992DD9"/>
    <w:rsid w:val="00994C28"/>
    <w:rsid w:val="00995DC3"/>
    <w:rsid w:val="009A6C8E"/>
    <w:rsid w:val="009A7E5E"/>
    <w:rsid w:val="009B33FC"/>
    <w:rsid w:val="009B561A"/>
    <w:rsid w:val="009B583D"/>
    <w:rsid w:val="009B5DB0"/>
    <w:rsid w:val="009C6CCE"/>
    <w:rsid w:val="009D2E35"/>
    <w:rsid w:val="009D3269"/>
    <w:rsid w:val="009D4D26"/>
    <w:rsid w:val="009D50A5"/>
    <w:rsid w:val="009E3109"/>
    <w:rsid w:val="009E3507"/>
    <w:rsid w:val="009E76A7"/>
    <w:rsid w:val="009F23F8"/>
    <w:rsid w:val="009F34E6"/>
    <w:rsid w:val="009F3C25"/>
    <w:rsid w:val="009F5082"/>
    <w:rsid w:val="009F5664"/>
    <w:rsid w:val="009F6499"/>
    <w:rsid w:val="00A01B43"/>
    <w:rsid w:val="00A034A8"/>
    <w:rsid w:val="00A05E71"/>
    <w:rsid w:val="00A14C58"/>
    <w:rsid w:val="00A17B09"/>
    <w:rsid w:val="00A17DAD"/>
    <w:rsid w:val="00A20E97"/>
    <w:rsid w:val="00A21A59"/>
    <w:rsid w:val="00A27D22"/>
    <w:rsid w:val="00A3104D"/>
    <w:rsid w:val="00A32A2C"/>
    <w:rsid w:val="00A42243"/>
    <w:rsid w:val="00A46935"/>
    <w:rsid w:val="00A4757D"/>
    <w:rsid w:val="00A50703"/>
    <w:rsid w:val="00A6258A"/>
    <w:rsid w:val="00A62D52"/>
    <w:rsid w:val="00A63DFF"/>
    <w:rsid w:val="00A65CCF"/>
    <w:rsid w:val="00A67B34"/>
    <w:rsid w:val="00A717ED"/>
    <w:rsid w:val="00A72526"/>
    <w:rsid w:val="00A754C1"/>
    <w:rsid w:val="00A7553E"/>
    <w:rsid w:val="00A75E0F"/>
    <w:rsid w:val="00A77E61"/>
    <w:rsid w:val="00A80DD9"/>
    <w:rsid w:val="00A81424"/>
    <w:rsid w:val="00A84579"/>
    <w:rsid w:val="00A8556C"/>
    <w:rsid w:val="00A8721D"/>
    <w:rsid w:val="00A900C9"/>
    <w:rsid w:val="00A96186"/>
    <w:rsid w:val="00AA01D9"/>
    <w:rsid w:val="00AA17AD"/>
    <w:rsid w:val="00AA1820"/>
    <w:rsid w:val="00AA4DC4"/>
    <w:rsid w:val="00AA5FD6"/>
    <w:rsid w:val="00AA726D"/>
    <w:rsid w:val="00AB151B"/>
    <w:rsid w:val="00AB2CC2"/>
    <w:rsid w:val="00AC1524"/>
    <w:rsid w:val="00AC2D27"/>
    <w:rsid w:val="00AC410F"/>
    <w:rsid w:val="00AC7900"/>
    <w:rsid w:val="00AC7972"/>
    <w:rsid w:val="00AC7EBF"/>
    <w:rsid w:val="00AD09FC"/>
    <w:rsid w:val="00AD2616"/>
    <w:rsid w:val="00AD410C"/>
    <w:rsid w:val="00AD448A"/>
    <w:rsid w:val="00AE0A93"/>
    <w:rsid w:val="00AE0D5E"/>
    <w:rsid w:val="00AE1A1B"/>
    <w:rsid w:val="00AE3402"/>
    <w:rsid w:val="00AE658B"/>
    <w:rsid w:val="00AF3113"/>
    <w:rsid w:val="00AF6E77"/>
    <w:rsid w:val="00B02235"/>
    <w:rsid w:val="00B048E8"/>
    <w:rsid w:val="00B04D97"/>
    <w:rsid w:val="00B11FF6"/>
    <w:rsid w:val="00B13E05"/>
    <w:rsid w:val="00B170BB"/>
    <w:rsid w:val="00B21F5A"/>
    <w:rsid w:val="00B25EAB"/>
    <w:rsid w:val="00B30B71"/>
    <w:rsid w:val="00B30EBC"/>
    <w:rsid w:val="00B357FC"/>
    <w:rsid w:val="00B423EA"/>
    <w:rsid w:val="00B4584E"/>
    <w:rsid w:val="00B47860"/>
    <w:rsid w:val="00B50122"/>
    <w:rsid w:val="00B52DD5"/>
    <w:rsid w:val="00B53A7E"/>
    <w:rsid w:val="00B54BE7"/>
    <w:rsid w:val="00B55B28"/>
    <w:rsid w:val="00B63014"/>
    <w:rsid w:val="00B63ACB"/>
    <w:rsid w:val="00B7053C"/>
    <w:rsid w:val="00B77223"/>
    <w:rsid w:val="00B81270"/>
    <w:rsid w:val="00B83091"/>
    <w:rsid w:val="00B83D4D"/>
    <w:rsid w:val="00B9791C"/>
    <w:rsid w:val="00BA3FEB"/>
    <w:rsid w:val="00BA58D1"/>
    <w:rsid w:val="00BA5968"/>
    <w:rsid w:val="00BA7218"/>
    <w:rsid w:val="00BB251E"/>
    <w:rsid w:val="00BB25C6"/>
    <w:rsid w:val="00BB4E09"/>
    <w:rsid w:val="00BC0ED2"/>
    <w:rsid w:val="00BC2703"/>
    <w:rsid w:val="00BD216A"/>
    <w:rsid w:val="00BE5A00"/>
    <w:rsid w:val="00BF0ECE"/>
    <w:rsid w:val="00BF125F"/>
    <w:rsid w:val="00BF6D4F"/>
    <w:rsid w:val="00BF7483"/>
    <w:rsid w:val="00C11CEC"/>
    <w:rsid w:val="00C3259C"/>
    <w:rsid w:val="00C34C28"/>
    <w:rsid w:val="00C410D1"/>
    <w:rsid w:val="00C422F9"/>
    <w:rsid w:val="00C42A82"/>
    <w:rsid w:val="00C43680"/>
    <w:rsid w:val="00C516BB"/>
    <w:rsid w:val="00C572B9"/>
    <w:rsid w:val="00C643E0"/>
    <w:rsid w:val="00C6513A"/>
    <w:rsid w:val="00C659F8"/>
    <w:rsid w:val="00C706AB"/>
    <w:rsid w:val="00C707C7"/>
    <w:rsid w:val="00C71509"/>
    <w:rsid w:val="00C71AA1"/>
    <w:rsid w:val="00C721A7"/>
    <w:rsid w:val="00C73D7A"/>
    <w:rsid w:val="00C77BD5"/>
    <w:rsid w:val="00C77E74"/>
    <w:rsid w:val="00C801F1"/>
    <w:rsid w:val="00C82ABD"/>
    <w:rsid w:val="00C83D14"/>
    <w:rsid w:val="00C842E8"/>
    <w:rsid w:val="00C879C1"/>
    <w:rsid w:val="00C91A07"/>
    <w:rsid w:val="00C92DC2"/>
    <w:rsid w:val="00C94EFC"/>
    <w:rsid w:val="00CA113B"/>
    <w:rsid w:val="00CA6722"/>
    <w:rsid w:val="00CA7A38"/>
    <w:rsid w:val="00CB633E"/>
    <w:rsid w:val="00CC0CCE"/>
    <w:rsid w:val="00CC16ED"/>
    <w:rsid w:val="00CD1239"/>
    <w:rsid w:val="00CD1B22"/>
    <w:rsid w:val="00CD2059"/>
    <w:rsid w:val="00CD251C"/>
    <w:rsid w:val="00CD2BD6"/>
    <w:rsid w:val="00CE2822"/>
    <w:rsid w:val="00CE5EA7"/>
    <w:rsid w:val="00CE6CC3"/>
    <w:rsid w:val="00CF232D"/>
    <w:rsid w:val="00CF3FEB"/>
    <w:rsid w:val="00CF703B"/>
    <w:rsid w:val="00CF7F46"/>
    <w:rsid w:val="00D00DF2"/>
    <w:rsid w:val="00D012A4"/>
    <w:rsid w:val="00D054DA"/>
    <w:rsid w:val="00D07375"/>
    <w:rsid w:val="00D137C9"/>
    <w:rsid w:val="00D1763A"/>
    <w:rsid w:val="00D21B9B"/>
    <w:rsid w:val="00D22A64"/>
    <w:rsid w:val="00D24DAB"/>
    <w:rsid w:val="00D30571"/>
    <w:rsid w:val="00D30C61"/>
    <w:rsid w:val="00D31402"/>
    <w:rsid w:val="00D31E75"/>
    <w:rsid w:val="00D32864"/>
    <w:rsid w:val="00D32CD1"/>
    <w:rsid w:val="00D3386D"/>
    <w:rsid w:val="00D37E44"/>
    <w:rsid w:val="00D40C78"/>
    <w:rsid w:val="00D50BCE"/>
    <w:rsid w:val="00D55553"/>
    <w:rsid w:val="00D57F87"/>
    <w:rsid w:val="00D601B7"/>
    <w:rsid w:val="00D62921"/>
    <w:rsid w:val="00D6478C"/>
    <w:rsid w:val="00D7063C"/>
    <w:rsid w:val="00D7383B"/>
    <w:rsid w:val="00D7389D"/>
    <w:rsid w:val="00D80FBE"/>
    <w:rsid w:val="00D9231C"/>
    <w:rsid w:val="00D93DB6"/>
    <w:rsid w:val="00D94325"/>
    <w:rsid w:val="00D95CCA"/>
    <w:rsid w:val="00D96005"/>
    <w:rsid w:val="00D96671"/>
    <w:rsid w:val="00D97EF7"/>
    <w:rsid w:val="00DA06D0"/>
    <w:rsid w:val="00DA351F"/>
    <w:rsid w:val="00DA40A4"/>
    <w:rsid w:val="00DA4766"/>
    <w:rsid w:val="00DA5850"/>
    <w:rsid w:val="00DB092C"/>
    <w:rsid w:val="00DB297C"/>
    <w:rsid w:val="00DC0AF8"/>
    <w:rsid w:val="00DC0D9B"/>
    <w:rsid w:val="00DC1427"/>
    <w:rsid w:val="00DC4CA0"/>
    <w:rsid w:val="00DC5300"/>
    <w:rsid w:val="00DC626B"/>
    <w:rsid w:val="00DC734B"/>
    <w:rsid w:val="00DD0D1D"/>
    <w:rsid w:val="00DD23E5"/>
    <w:rsid w:val="00DD646B"/>
    <w:rsid w:val="00DE0E0E"/>
    <w:rsid w:val="00DE1B8B"/>
    <w:rsid w:val="00DE33B1"/>
    <w:rsid w:val="00DE39B2"/>
    <w:rsid w:val="00DF28D6"/>
    <w:rsid w:val="00DF6696"/>
    <w:rsid w:val="00E03E23"/>
    <w:rsid w:val="00E06329"/>
    <w:rsid w:val="00E06A32"/>
    <w:rsid w:val="00E07FBB"/>
    <w:rsid w:val="00E10ABB"/>
    <w:rsid w:val="00E10E30"/>
    <w:rsid w:val="00E16CEA"/>
    <w:rsid w:val="00E2071A"/>
    <w:rsid w:val="00E21069"/>
    <w:rsid w:val="00E2428E"/>
    <w:rsid w:val="00E251E6"/>
    <w:rsid w:val="00E279B1"/>
    <w:rsid w:val="00E27ADA"/>
    <w:rsid w:val="00E30B5C"/>
    <w:rsid w:val="00E33AC7"/>
    <w:rsid w:val="00E36F0C"/>
    <w:rsid w:val="00E475D9"/>
    <w:rsid w:val="00E524ED"/>
    <w:rsid w:val="00E56CBE"/>
    <w:rsid w:val="00E571BB"/>
    <w:rsid w:val="00E60808"/>
    <w:rsid w:val="00E715D5"/>
    <w:rsid w:val="00E728C2"/>
    <w:rsid w:val="00E74368"/>
    <w:rsid w:val="00E768DE"/>
    <w:rsid w:val="00E81664"/>
    <w:rsid w:val="00E8639B"/>
    <w:rsid w:val="00E94EBF"/>
    <w:rsid w:val="00E97E94"/>
    <w:rsid w:val="00EA271B"/>
    <w:rsid w:val="00EA44D3"/>
    <w:rsid w:val="00EA4723"/>
    <w:rsid w:val="00EA72BB"/>
    <w:rsid w:val="00EA7C9C"/>
    <w:rsid w:val="00EB67E8"/>
    <w:rsid w:val="00EB6FEC"/>
    <w:rsid w:val="00EC01F1"/>
    <w:rsid w:val="00EC09EF"/>
    <w:rsid w:val="00EC698E"/>
    <w:rsid w:val="00ED0E83"/>
    <w:rsid w:val="00ED1D78"/>
    <w:rsid w:val="00ED77BF"/>
    <w:rsid w:val="00EE1DD6"/>
    <w:rsid w:val="00EE28EB"/>
    <w:rsid w:val="00EE33F7"/>
    <w:rsid w:val="00EF6514"/>
    <w:rsid w:val="00EF6B1E"/>
    <w:rsid w:val="00F01004"/>
    <w:rsid w:val="00F0513E"/>
    <w:rsid w:val="00F07DD9"/>
    <w:rsid w:val="00F1593D"/>
    <w:rsid w:val="00F15DBA"/>
    <w:rsid w:val="00F17A1D"/>
    <w:rsid w:val="00F26981"/>
    <w:rsid w:val="00F279FF"/>
    <w:rsid w:val="00F3270B"/>
    <w:rsid w:val="00F33045"/>
    <w:rsid w:val="00F34517"/>
    <w:rsid w:val="00F346CE"/>
    <w:rsid w:val="00F35082"/>
    <w:rsid w:val="00F410A5"/>
    <w:rsid w:val="00F4253B"/>
    <w:rsid w:val="00F44D2F"/>
    <w:rsid w:val="00F47E9D"/>
    <w:rsid w:val="00F52E18"/>
    <w:rsid w:val="00F5369C"/>
    <w:rsid w:val="00F54266"/>
    <w:rsid w:val="00F56FDC"/>
    <w:rsid w:val="00F65CB3"/>
    <w:rsid w:val="00F676C5"/>
    <w:rsid w:val="00F7118D"/>
    <w:rsid w:val="00F72E6F"/>
    <w:rsid w:val="00F759F6"/>
    <w:rsid w:val="00F766AA"/>
    <w:rsid w:val="00F81FCD"/>
    <w:rsid w:val="00F86519"/>
    <w:rsid w:val="00F979B6"/>
    <w:rsid w:val="00FA1D98"/>
    <w:rsid w:val="00FB1449"/>
    <w:rsid w:val="00FB3BEC"/>
    <w:rsid w:val="00FC1A78"/>
    <w:rsid w:val="00FC2D06"/>
    <w:rsid w:val="00FC56F0"/>
    <w:rsid w:val="00FC59B0"/>
    <w:rsid w:val="00FD22DB"/>
    <w:rsid w:val="00FD3515"/>
    <w:rsid w:val="00FD414E"/>
    <w:rsid w:val="00FD5D87"/>
    <w:rsid w:val="00FE05EF"/>
    <w:rsid w:val="00FE0D02"/>
    <w:rsid w:val="00FF55DE"/>
    <w:rsid w:val="00FF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C95B"/>
  <w15:docId w15:val="{3155458E-A74C-4E6D-881E-8402F355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AA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14"/>
    <w:pPr>
      <w:spacing w:after="160" w:line="259"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8D1D0E"/>
  </w:style>
  <w:style w:type="character" w:styleId="Emphasis">
    <w:name w:val="Emphasis"/>
    <w:basedOn w:val="DefaultParagraphFont"/>
    <w:uiPriority w:val="20"/>
    <w:qFormat/>
    <w:rsid w:val="008D1D0E"/>
    <w:rPr>
      <w:i/>
      <w:iCs/>
    </w:rPr>
  </w:style>
  <w:style w:type="paragraph" w:styleId="FootnoteText">
    <w:name w:val="footnote text"/>
    <w:basedOn w:val="Normal"/>
    <w:link w:val="FootnoteTextChar"/>
    <w:uiPriority w:val="99"/>
    <w:unhideWhenUsed/>
    <w:rsid w:val="00B170BB"/>
    <w:rPr>
      <w:rFonts w:ascii="Arial" w:eastAsia="Arial" w:hAnsi="Arial" w:cs="Arial"/>
      <w:color w:val="000000"/>
      <w:sz w:val="20"/>
      <w:szCs w:val="20"/>
    </w:rPr>
  </w:style>
  <w:style w:type="character" w:customStyle="1" w:styleId="FootnoteTextChar">
    <w:name w:val="Footnote Text Char"/>
    <w:basedOn w:val="DefaultParagraphFont"/>
    <w:link w:val="FootnoteText"/>
    <w:uiPriority w:val="99"/>
    <w:rsid w:val="00B170BB"/>
    <w:rPr>
      <w:rFonts w:ascii="Arial" w:eastAsia="Arial" w:hAnsi="Arial" w:cs="Arial"/>
      <w:color w:val="000000"/>
      <w:sz w:val="20"/>
      <w:szCs w:val="20"/>
    </w:rPr>
  </w:style>
  <w:style w:type="paragraph" w:styleId="CommentText">
    <w:name w:val="annotation text"/>
    <w:basedOn w:val="Normal"/>
    <w:link w:val="CommentTextChar"/>
    <w:uiPriority w:val="99"/>
    <w:semiHidden/>
    <w:unhideWhenUsed/>
    <w:rsid w:val="00B170BB"/>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B170BB"/>
    <w:rPr>
      <w:rFonts w:eastAsiaTheme="minorEastAsia"/>
      <w:sz w:val="20"/>
      <w:szCs w:val="20"/>
    </w:rPr>
  </w:style>
  <w:style w:type="character" w:styleId="FootnoteReference">
    <w:name w:val="footnote reference"/>
    <w:basedOn w:val="DefaultParagraphFont"/>
    <w:uiPriority w:val="99"/>
    <w:unhideWhenUsed/>
    <w:rsid w:val="00B170BB"/>
    <w:rPr>
      <w:vertAlign w:val="superscript"/>
    </w:rPr>
  </w:style>
  <w:style w:type="character" w:styleId="CommentReference">
    <w:name w:val="annotation reference"/>
    <w:basedOn w:val="DefaultParagraphFont"/>
    <w:uiPriority w:val="99"/>
    <w:semiHidden/>
    <w:unhideWhenUsed/>
    <w:rsid w:val="00B170BB"/>
    <w:rPr>
      <w:sz w:val="16"/>
      <w:szCs w:val="16"/>
    </w:rPr>
  </w:style>
  <w:style w:type="paragraph" w:styleId="BalloonText">
    <w:name w:val="Balloon Text"/>
    <w:basedOn w:val="Normal"/>
    <w:link w:val="BalloonTextChar"/>
    <w:uiPriority w:val="99"/>
    <w:semiHidden/>
    <w:unhideWhenUsed/>
    <w:rsid w:val="00B170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0B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238"/>
    <w:pPr>
      <w:spacing w:after="160"/>
    </w:pPr>
    <w:rPr>
      <w:rFonts w:eastAsiaTheme="minorHAnsi"/>
      <w:b/>
      <w:bCs/>
    </w:rPr>
  </w:style>
  <w:style w:type="character" w:customStyle="1" w:styleId="CommentSubjectChar">
    <w:name w:val="Comment Subject Char"/>
    <w:basedOn w:val="CommentTextChar"/>
    <w:link w:val="CommentSubject"/>
    <w:uiPriority w:val="99"/>
    <w:semiHidden/>
    <w:rsid w:val="001C6238"/>
    <w:rPr>
      <w:rFonts w:eastAsiaTheme="minorEastAsia"/>
      <w:b/>
      <w:bCs/>
      <w:sz w:val="20"/>
      <w:szCs w:val="20"/>
    </w:rPr>
  </w:style>
  <w:style w:type="paragraph" w:styleId="HTMLPreformatted">
    <w:name w:val="HTML Preformatted"/>
    <w:basedOn w:val="Normal"/>
    <w:link w:val="HTMLPreformattedChar"/>
    <w:uiPriority w:val="99"/>
    <w:unhideWhenUsed/>
    <w:rsid w:val="0063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308FC"/>
    <w:rPr>
      <w:rFonts w:ascii="Courier New" w:hAnsi="Courier New" w:cs="Courier New"/>
      <w:sz w:val="20"/>
      <w:szCs w:val="20"/>
    </w:rPr>
  </w:style>
  <w:style w:type="character" w:customStyle="1" w:styleId="tx2">
    <w:name w:val="tx2"/>
    <w:basedOn w:val="DefaultParagraphFont"/>
    <w:rsid w:val="006321A8"/>
  </w:style>
  <w:style w:type="character" w:customStyle="1" w:styleId="m-7778423594856980938gmail-msofootnotereference">
    <w:name w:val="m_-7778423594856980938gmail-msofootnotereference"/>
    <w:basedOn w:val="DefaultParagraphFont"/>
    <w:rsid w:val="0014749D"/>
  </w:style>
  <w:style w:type="character" w:customStyle="1" w:styleId="m-7778423594856980938gmail-apple-converted-space">
    <w:name w:val="m_-7778423594856980938gmail-apple-converted-space"/>
    <w:basedOn w:val="DefaultParagraphFont"/>
    <w:rsid w:val="0014749D"/>
  </w:style>
  <w:style w:type="character" w:styleId="Hyperlink">
    <w:name w:val="Hyperlink"/>
    <w:basedOn w:val="DefaultParagraphFont"/>
    <w:uiPriority w:val="99"/>
    <w:unhideWhenUsed/>
    <w:rsid w:val="0014749D"/>
    <w:rPr>
      <w:color w:val="0000FF"/>
      <w:u w:val="single"/>
    </w:rPr>
  </w:style>
  <w:style w:type="character" w:customStyle="1" w:styleId="tx">
    <w:name w:val="tx"/>
    <w:basedOn w:val="DefaultParagraphFont"/>
    <w:rsid w:val="00D7389D"/>
  </w:style>
  <w:style w:type="paragraph" w:styleId="Header">
    <w:name w:val="header"/>
    <w:basedOn w:val="Normal"/>
    <w:link w:val="HeaderChar"/>
    <w:uiPriority w:val="99"/>
    <w:unhideWhenUsed/>
    <w:rsid w:val="00A67B34"/>
    <w:pPr>
      <w:tabs>
        <w:tab w:val="center" w:pos="4680"/>
        <w:tab w:val="right" w:pos="9360"/>
      </w:tabs>
    </w:pPr>
  </w:style>
  <w:style w:type="character" w:customStyle="1" w:styleId="HeaderChar">
    <w:name w:val="Header Char"/>
    <w:basedOn w:val="DefaultParagraphFont"/>
    <w:link w:val="Header"/>
    <w:uiPriority w:val="99"/>
    <w:rsid w:val="00A67B34"/>
    <w:rPr>
      <w:rFonts w:ascii="Times New Roman" w:hAnsi="Times New Roman" w:cs="Times New Roman"/>
      <w:sz w:val="24"/>
      <w:szCs w:val="24"/>
    </w:rPr>
  </w:style>
  <w:style w:type="paragraph" w:styleId="Footer">
    <w:name w:val="footer"/>
    <w:basedOn w:val="Normal"/>
    <w:link w:val="FooterChar"/>
    <w:uiPriority w:val="99"/>
    <w:unhideWhenUsed/>
    <w:rsid w:val="00A67B34"/>
    <w:pPr>
      <w:tabs>
        <w:tab w:val="center" w:pos="4680"/>
        <w:tab w:val="right" w:pos="9360"/>
      </w:tabs>
    </w:pPr>
  </w:style>
  <w:style w:type="character" w:customStyle="1" w:styleId="FooterChar">
    <w:name w:val="Footer Char"/>
    <w:basedOn w:val="DefaultParagraphFont"/>
    <w:link w:val="Footer"/>
    <w:uiPriority w:val="99"/>
    <w:rsid w:val="00A67B34"/>
    <w:rPr>
      <w:rFonts w:ascii="Times New Roman" w:hAnsi="Times New Roman" w:cs="Times New Roman"/>
      <w:sz w:val="24"/>
      <w:szCs w:val="24"/>
    </w:rPr>
  </w:style>
  <w:style w:type="paragraph" w:styleId="Caption">
    <w:name w:val="caption"/>
    <w:basedOn w:val="Normal"/>
    <w:next w:val="Normal"/>
    <w:qFormat/>
    <w:rsid w:val="00B63ACB"/>
    <w:pPr>
      <w:widowControl w:val="0"/>
    </w:pPr>
    <w:rPr>
      <w:rFonts w:eastAsia="Times New Roman"/>
      <w:bCs/>
      <w:sz w:val="26"/>
      <w:szCs w:val="20"/>
    </w:rPr>
  </w:style>
  <w:style w:type="paragraph" w:customStyle="1" w:styleId="FirmInformation">
    <w:name w:val="Firm Information"/>
    <w:basedOn w:val="Normal"/>
    <w:rsid w:val="00B63ACB"/>
    <w:pPr>
      <w:widowControl w:val="0"/>
      <w:ind w:right="144"/>
    </w:pPr>
    <w:rPr>
      <w:rFonts w:eastAsia="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9953">
      <w:bodyDiv w:val="1"/>
      <w:marLeft w:val="0"/>
      <w:marRight w:val="0"/>
      <w:marTop w:val="0"/>
      <w:marBottom w:val="0"/>
      <w:divBdr>
        <w:top w:val="none" w:sz="0" w:space="0" w:color="auto"/>
        <w:left w:val="none" w:sz="0" w:space="0" w:color="auto"/>
        <w:bottom w:val="none" w:sz="0" w:space="0" w:color="auto"/>
        <w:right w:val="none" w:sz="0" w:space="0" w:color="auto"/>
      </w:divBdr>
    </w:div>
    <w:div w:id="117645302">
      <w:bodyDiv w:val="1"/>
      <w:marLeft w:val="0"/>
      <w:marRight w:val="0"/>
      <w:marTop w:val="0"/>
      <w:marBottom w:val="0"/>
      <w:divBdr>
        <w:top w:val="none" w:sz="0" w:space="0" w:color="auto"/>
        <w:left w:val="none" w:sz="0" w:space="0" w:color="auto"/>
        <w:bottom w:val="none" w:sz="0" w:space="0" w:color="auto"/>
        <w:right w:val="none" w:sz="0" w:space="0" w:color="auto"/>
      </w:divBdr>
      <w:divsChild>
        <w:div w:id="1473671006">
          <w:marLeft w:val="0"/>
          <w:marRight w:val="0"/>
          <w:marTop w:val="0"/>
          <w:marBottom w:val="0"/>
          <w:divBdr>
            <w:top w:val="none" w:sz="0" w:space="0" w:color="auto"/>
            <w:left w:val="none" w:sz="0" w:space="0" w:color="auto"/>
            <w:bottom w:val="none" w:sz="0" w:space="0" w:color="auto"/>
            <w:right w:val="none" w:sz="0" w:space="0" w:color="auto"/>
          </w:divBdr>
          <w:divsChild>
            <w:div w:id="12109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2663">
      <w:bodyDiv w:val="1"/>
      <w:marLeft w:val="0"/>
      <w:marRight w:val="0"/>
      <w:marTop w:val="0"/>
      <w:marBottom w:val="0"/>
      <w:divBdr>
        <w:top w:val="none" w:sz="0" w:space="0" w:color="auto"/>
        <w:left w:val="none" w:sz="0" w:space="0" w:color="auto"/>
        <w:bottom w:val="none" w:sz="0" w:space="0" w:color="auto"/>
        <w:right w:val="none" w:sz="0" w:space="0" w:color="auto"/>
      </w:divBdr>
    </w:div>
    <w:div w:id="333455968">
      <w:bodyDiv w:val="1"/>
      <w:marLeft w:val="0"/>
      <w:marRight w:val="0"/>
      <w:marTop w:val="0"/>
      <w:marBottom w:val="0"/>
      <w:divBdr>
        <w:top w:val="none" w:sz="0" w:space="0" w:color="auto"/>
        <w:left w:val="none" w:sz="0" w:space="0" w:color="auto"/>
        <w:bottom w:val="none" w:sz="0" w:space="0" w:color="auto"/>
        <w:right w:val="none" w:sz="0" w:space="0" w:color="auto"/>
      </w:divBdr>
    </w:div>
    <w:div w:id="362947975">
      <w:bodyDiv w:val="1"/>
      <w:marLeft w:val="0"/>
      <w:marRight w:val="0"/>
      <w:marTop w:val="0"/>
      <w:marBottom w:val="0"/>
      <w:divBdr>
        <w:top w:val="none" w:sz="0" w:space="0" w:color="auto"/>
        <w:left w:val="none" w:sz="0" w:space="0" w:color="auto"/>
        <w:bottom w:val="none" w:sz="0" w:space="0" w:color="auto"/>
        <w:right w:val="none" w:sz="0" w:space="0" w:color="auto"/>
      </w:divBdr>
    </w:div>
    <w:div w:id="874929586">
      <w:bodyDiv w:val="1"/>
      <w:marLeft w:val="0"/>
      <w:marRight w:val="0"/>
      <w:marTop w:val="0"/>
      <w:marBottom w:val="0"/>
      <w:divBdr>
        <w:top w:val="none" w:sz="0" w:space="0" w:color="auto"/>
        <w:left w:val="none" w:sz="0" w:space="0" w:color="auto"/>
        <w:bottom w:val="none" w:sz="0" w:space="0" w:color="auto"/>
        <w:right w:val="none" w:sz="0" w:space="0" w:color="auto"/>
      </w:divBdr>
    </w:div>
    <w:div w:id="1045763253">
      <w:bodyDiv w:val="1"/>
      <w:marLeft w:val="0"/>
      <w:marRight w:val="0"/>
      <w:marTop w:val="0"/>
      <w:marBottom w:val="0"/>
      <w:divBdr>
        <w:top w:val="none" w:sz="0" w:space="0" w:color="auto"/>
        <w:left w:val="none" w:sz="0" w:space="0" w:color="auto"/>
        <w:bottom w:val="none" w:sz="0" w:space="0" w:color="auto"/>
        <w:right w:val="none" w:sz="0" w:space="0" w:color="auto"/>
      </w:divBdr>
      <w:divsChild>
        <w:div w:id="1734889246">
          <w:marLeft w:val="0"/>
          <w:marRight w:val="0"/>
          <w:marTop w:val="0"/>
          <w:marBottom w:val="0"/>
          <w:divBdr>
            <w:top w:val="none" w:sz="0" w:space="0" w:color="auto"/>
            <w:left w:val="none" w:sz="0" w:space="0" w:color="auto"/>
            <w:bottom w:val="none" w:sz="0" w:space="0" w:color="auto"/>
            <w:right w:val="none" w:sz="0" w:space="0" w:color="auto"/>
          </w:divBdr>
          <w:divsChild>
            <w:div w:id="568225502">
              <w:marLeft w:val="0"/>
              <w:marRight w:val="0"/>
              <w:marTop w:val="0"/>
              <w:marBottom w:val="0"/>
              <w:divBdr>
                <w:top w:val="none" w:sz="0" w:space="0" w:color="auto"/>
                <w:left w:val="none" w:sz="0" w:space="0" w:color="auto"/>
                <w:bottom w:val="none" w:sz="0" w:space="0" w:color="auto"/>
                <w:right w:val="none" w:sz="0" w:space="0" w:color="auto"/>
              </w:divBdr>
              <w:divsChild>
                <w:div w:id="2017076377">
                  <w:marLeft w:val="0"/>
                  <w:marRight w:val="0"/>
                  <w:marTop w:val="0"/>
                  <w:marBottom w:val="0"/>
                  <w:divBdr>
                    <w:top w:val="none" w:sz="0" w:space="0" w:color="auto"/>
                    <w:left w:val="none" w:sz="0" w:space="0" w:color="auto"/>
                    <w:bottom w:val="none" w:sz="0" w:space="0" w:color="auto"/>
                    <w:right w:val="none" w:sz="0" w:space="0" w:color="auto"/>
                  </w:divBdr>
                  <w:divsChild>
                    <w:div w:id="408575269">
                      <w:marLeft w:val="0"/>
                      <w:marRight w:val="0"/>
                      <w:marTop w:val="0"/>
                      <w:marBottom w:val="0"/>
                      <w:divBdr>
                        <w:top w:val="none" w:sz="0" w:space="0" w:color="auto"/>
                        <w:left w:val="none" w:sz="0" w:space="0" w:color="auto"/>
                        <w:bottom w:val="none" w:sz="0" w:space="0" w:color="auto"/>
                        <w:right w:val="none" w:sz="0" w:space="0" w:color="auto"/>
                      </w:divBdr>
                      <w:divsChild>
                        <w:div w:id="1887057657">
                          <w:marLeft w:val="0"/>
                          <w:marRight w:val="0"/>
                          <w:marTop w:val="0"/>
                          <w:marBottom w:val="0"/>
                          <w:divBdr>
                            <w:top w:val="none" w:sz="0" w:space="0" w:color="auto"/>
                            <w:left w:val="none" w:sz="0" w:space="0" w:color="auto"/>
                            <w:bottom w:val="none" w:sz="0" w:space="0" w:color="auto"/>
                            <w:right w:val="none" w:sz="0" w:space="0" w:color="auto"/>
                          </w:divBdr>
                          <w:divsChild>
                            <w:div w:id="2101754029">
                              <w:marLeft w:val="0"/>
                              <w:marRight w:val="0"/>
                              <w:marTop w:val="0"/>
                              <w:marBottom w:val="0"/>
                              <w:divBdr>
                                <w:top w:val="none" w:sz="0" w:space="0" w:color="auto"/>
                                <w:left w:val="none" w:sz="0" w:space="0" w:color="auto"/>
                                <w:bottom w:val="none" w:sz="0" w:space="0" w:color="auto"/>
                                <w:right w:val="none" w:sz="0" w:space="0" w:color="auto"/>
                              </w:divBdr>
                              <w:divsChild>
                                <w:div w:id="661349353">
                                  <w:marLeft w:val="0"/>
                                  <w:marRight w:val="0"/>
                                  <w:marTop w:val="0"/>
                                  <w:marBottom w:val="0"/>
                                  <w:divBdr>
                                    <w:top w:val="none" w:sz="0" w:space="0" w:color="auto"/>
                                    <w:left w:val="none" w:sz="0" w:space="0" w:color="auto"/>
                                    <w:bottom w:val="none" w:sz="0" w:space="0" w:color="auto"/>
                                    <w:right w:val="none" w:sz="0" w:space="0" w:color="auto"/>
                                  </w:divBdr>
                                  <w:divsChild>
                                    <w:div w:id="1817453441">
                                      <w:marLeft w:val="0"/>
                                      <w:marRight w:val="0"/>
                                      <w:marTop w:val="0"/>
                                      <w:marBottom w:val="0"/>
                                      <w:divBdr>
                                        <w:top w:val="none" w:sz="0" w:space="0" w:color="auto"/>
                                        <w:left w:val="none" w:sz="0" w:space="0" w:color="auto"/>
                                        <w:bottom w:val="none" w:sz="0" w:space="0" w:color="auto"/>
                                        <w:right w:val="none" w:sz="0" w:space="0" w:color="auto"/>
                                      </w:divBdr>
                                      <w:divsChild>
                                        <w:div w:id="796265749">
                                          <w:marLeft w:val="0"/>
                                          <w:marRight w:val="0"/>
                                          <w:marTop w:val="0"/>
                                          <w:marBottom w:val="0"/>
                                          <w:divBdr>
                                            <w:top w:val="none" w:sz="0" w:space="0" w:color="auto"/>
                                            <w:left w:val="none" w:sz="0" w:space="0" w:color="auto"/>
                                            <w:bottom w:val="none" w:sz="0" w:space="0" w:color="auto"/>
                                            <w:right w:val="none" w:sz="0" w:space="0" w:color="auto"/>
                                          </w:divBdr>
                                          <w:divsChild>
                                            <w:div w:id="1723138616">
                                              <w:marLeft w:val="0"/>
                                              <w:marRight w:val="0"/>
                                              <w:marTop w:val="0"/>
                                              <w:marBottom w:val="0"/>
                                              <w:divBdr>
                                                <w:top w:val="none" w:sz="0" w:space="0" w:color="auto"/>
                                                <w:left w:val="none" w:sz="0" w:space="0" w:color="auto"/>
                                                <w:bottom w:val="none" w:sz="0" w:space="0" w:color="auto"/>
                                                <w:right w:val="none" w:sz="0" w:space="0" w:color="auto"/>
                                              </w:divBdr>
                                              <w:divsChild>
                                                <w:div w:id="2061705634">
                                                  <w:marLeft w:val="0"/>
                                                  <w:marRight w:val="0"/>
                                                  <w:marTop w:val="0"/>
                                                  <w:marBottom w:val="0"/>
                                                  <w:divBdr>
                                                    <w:top w:val="none" w:sz="0" w:space="0" w:color="auto"/>
                                                    <w:left w:val="none" w:sz="0" w:space="0" w:color="auto"/>
                                                    <w:bottom w:val="none" w:sz="0" w:space="0" w:color="auto"/>
                                                    <w:right w:val="none" w:sz="0" w:space="0" w:color="auto"/>
                                                  </w:divBdr>
                                                  <w:divsChild>
                                                    <w:div w:id="374014265">
                                                      <w:marLeft w:val="0"/>
                                                      <w:marRight w:val="0"/>
                                                      <w:marTop w:val="0"/>
                                                      <w:marBottom w:val="0"/>
                                                      <w:divBdr>
                                                        <w:top w:val="none" w:sz="0" w:space="0" w:color="auto"/>
                                                        <w:left w:val="none" w:sz="0" w:space="0" w:color="auto"/>
                                                        <w:bottom w:val="none" w:sz="0" w:space="0" w:color="auto"/>
                                                        <w:right w:val="none" w:sz="0" w:space="0" w:color="auto"/>
                                                      </w:divBdr>
                                                      <w:divsChild>
                                                        <w:div w:id="1531067537">
                                                          <w:marLeft w:val="0"/>
                                                          <w:marRight w:val="0"/>
                                                          <w:marTop w:val="0"/>
                                                          <w:marBottom w:val="0"/>
                                                          <w:divBdr>
                                                            <w:top w:val="none" w:sz="0" w:space="0" w:color="auto"/>
                                                            <w:left w:val="none" w:sz="0" w:space="0" w:color="auto"/>
                                                            <w:bottom w:val="none" w:sz="0" w:space="0" w:color="auto"/>
                                                            <w:right w:val="none" w:sz="0" w:space="0" w:color="auto"/>
                                                          </w:divBdr>
                                                          <w:divsChild>
                                                            <w:div w:id="528837998">
                                                              <w:marLeft w:val="0"/>
                                                              <w:marRight w:val="0"/>
                                                              <w:marTop w:val="0"/>
                                                              <w:marBottom w:val="0"/>
                                                              <w:divBdr>
                                                                <w:top w:val="none" w:sz="0" w:space="0" w:color="auto"/>
                                                                <w:left w:val="none" w:sz="0" w:space="0" w:color="auto"/>
                                                                <w:bottom w:val="none" w:sz="0" w:space="0" w:color="auto"/>
                                                                <w:right w:val="none" w:sz="0" w:space="0" w:color="auto"/>
                                                              </w:divBdr>
                                                            </w:div>
                                                            <w:div w:id="12454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654123">
      <w:bodyDiv w:val="1"/>
      <w:marLeft w:val="0"/>
      <w:marRight w:val="0"/>
      <w:marTop w:val="0"/>
      <w:marBottom w:val="0"/>
      <w:divBdr>
        <w:top w:val="none" w:sz="0" w:space="0" w:color="auto"/>
        <w:left w:val="none" w:sz="0" w:space="0" w:color="auto"/>
        <w:bottom w:val="none" w:sz="0" w:space="0" w:color="auto"/>
        <w:right w:val="none" w:sz="0" w:space="0" w:color="auto"/>
      </w:divBdr>
    </w:div>
    <w:div w:id="1229682070">
      <w:bodyDiv w:val="1"/>
      <w:marLeft w:val="0"/>
      <w:marRight w:val="0"/>
      <w:marTop w:val="0"/>
      <w:marBottom w:val="0"/>
      <w:divBdr>
        <w:top w:val="none" w:sz="0" w:space="0" w:color="auto"/>
        <w:left w:val="none" w:sz="0" w:space="0" w:color="auto"/>
        <w:bottom w:val="none" w:sz="0" w:space="0" w:color="auto"/>
        <w:right w:val="none" w:sz="0" w:space="0" w:color="auto"/>
      </w:divBdr>
    </w:div>
    <w:div w:id="1383165985">
      <w:bodyDiv w:val="1"/>
      <w:marLeft w:val="0"/>
      <w:marRight w:val="0"/>
      <w:marTop w:val="0"/>
      <w:marBottom w:val="0"/>
      <w:divBdr>
        <w:top w:val="none" w:sz="0" w:space="0" w:color="auto"/>
        <w:left w:val="none" w:sz="0" w:space="0" w:color="auto"/>
        <w:bottom w:val="none" w:sz="0" w:space="0" w:color="auto"/>
        <w:right w:val="none" w:sz="0" w:space="0" w:color="auto"/>
      </w:divBdr>
    </w:div>
    <w:div w:id="1450200364">
      <w:bodyDiv w:val="1"/>
      <w:marLeft w:val="0"/>
      <w:marRight w:val="0"/>
      <w:marTop w:val="0"/>
      <w:marBottom w:val="0"/>
      <w:divBdr>
        <w:top w:val="none" w:sz="0" w:space="0" w:color="auto"/>
        <w:left w:val="none" w:sz="0" w:space="0" w:color="auto"/>
        <w:bottom w:val="none" w:sz="0" w:space="0" w:color="auto"/>
        <w:right w:val="none" w:sz="0" w:space="0" w:color="auto"/>
      </w:divBdr>
    </w:div>
    <w:div w:id="1452479214">
      <w:bodyDiv w:val="1"/>
      <w:marLeft w:val="0"/>
      <w:marRight w:val="0"/>
      <w:marTop w:val="0"/>
      <w:marBottom w:val="0"/>
      <w:divBdr>
        <w:top w:val="none" w:sz="0" w:space="0" w:color="auto"/>
        <w:left w:val="none" w:sz="0" w:space="0" w:color="auto"/>
        <w:bottom w:val="none" w:sz="0" w:space="0" w:color="auto"/>
        <w:right w:val="none" w:sz="0" w:space="0" w:color="auto"/>
      </w:divBdr>
      <w:divsChild>
        <w:div w:id="1814103763">
          <w:marLeft w:val="0"/>
          <w:marRight w:val="0"/>
          <w:marTop w:val="0"/>
          <w:marBottom w:val="0"/>
          <w:divBdr>
            <w:top w:val="none" w:sz="0" w:space="0" w:color="auto"/>
            <w:left w:val="none" w:sz="0" w:space="0" w:color="auto"/>
            <w:bottom w:val="none" w:sz="0" w:space="0" w:color="auto"/>
            <w:right w:val="none" w:sz="0" w:space="0" w:color="auto"/>
          </w:divBdr>
          <w:divsChild>
            <w:div w:id="192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621">
      <w:bodyDiv w:val="1"/>
      <w:marLeft w:val="0"/>
      <w:marRight w:val="0"/>
      <w:marTop w:val="0"/>
      <w:marBottom w:val="0"/>
      <w:divBdr>
        <w:top w:val="none" w:sz="0" w:space="0" w:color="auto"/>
        <w:left w:val="none" w:sz="0" w:space="0" w:color="auto"/>
        <w:bottom w:val="none" w:sz="0" w:space="0" w:color="auto"/>
        <w:right w:val="none" w:sz="0" w:space="0" w:color="auto"/>
      </w:divBdr>
      <w:divsChild>
        <w:div w:id="1283658365">
          <w:marLeft w:val="0"/>
          <w:marRight w:val="0"/>
          <w:marTop w:val="0"/>
          <w:marBottom w:val="0"/>
          <w:divBdr>
            <w:top w:val="none" w:sz="0" w:space="0" w:color="auto"/>
            <w:left w:val="none" w:sz="0" w:space="0" w:color="auto"/>
            <w:bottom w:val="none" w:sz="0" w:space="0" w:color="auto"/>
            <w:right w:val="none" w:sz="0" w:space="0" w:color="auto"/>
          </w:divBdr>
          <w:divsChild>
            <w:div w:id="162780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0193">
      <w:bodyDiv w:val="1"/>
      <w:marLeft w:val="0"/>
      <w:marRight w:val="0"/>
      <w:marTop w:val="0"/>
      <w:marBottom w:val="0"/>
      <w:divBdr>
        <w:top w:val="none" w:sz="0" w:space="0" w:color="auto"/>
        <w:left w:val="none" w:sz="0" w:space="0" w:color="auto"/>
        <w:bottom w:val="none" w:sz="0" w:space="0" w:color="auto"/>
        <w:right w:val="none" w:sz="0" w:space="0" w:color="auto"/>
      </w:divBdr>
      <w:divsChild>
        <w:div w:id="2072384806">
          <w:marLeft w:val="0"/>
          <w:marRight w:val="0"/>
          <w:marTop w:val="0"/>
          <w:marBottom w:val="0"/>
          <w:divBdr>
            <w:top w:val="none" w:sz="0" w:space="0" w:color="auto"/>
            <w:left w:val="none" w:sz="0" w:space="0" w:color="auto"/>
            <w:bottom w:val="none" w:sz="0" w:space="0" w:color="auto"/>
            <w:right w:val="none" w:sz="0" w:space="0" w:color="auto"/>
          </w:divBdr>
          <w:divsChild>
            <w:div w:id="21359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89220">
      <w:bodyDiv w:val="1"/>
      <w:marLeft w:val="0"/>
      <w:marRight w:val="0"/>
      <w:marTop w:val="0"/>
      <w:marBottom w:val="0"/>
      <w:divBdr>
        <w:top w:val="none" w:sz="0" w:space="0" w:color="auto"/>
        <w:left w:val="none" w:sz="0" w:space="0" w:color="auto"/>
        <w:bottom w:val="none" w:sz="0" w:space="0" w:color="auto"/>
        <w:right w:val="none" w:sz="0" w:space="0" w:color="auto"/>
      </w:divBdr>
    </w:div>
    <w:div w:id="1808474777">
      <w:bodyDiv w:val="1"/>
      <w:marLeft w:val="0"/>
      <w:marRight w:val="0"/>
      <w:marTop w:val="0"/>
      <w:marBottom w:val="0"/>
      <w:divBdr>
        <w:top w:val="none" w:sz="0" w:space="0" w:color="auto"/>
        <w:left w:val="none" w:sz="0" w:space="0" w:color="auto"/>
        <w:bottom w:val="none" w:sz="0" w:space="0" w:color="auto"/>
        <w:right w:val="none" w:sz="0" w:space="0" w:color="auto"/>
      </w:divBdr>
      <w:divsChild>
        <w:div w:id="1486900546">
          <w:marLeft w:val="0"/>
          <w:marRight w:val="0"/>
          <w:marTop w:val="0"/>
          <w:marBottom w:val="0"/>
          <w:divBdr>
            <w:top w:val="none" w:sz="0" w:space="0" w:color="auto"/>
            <w:left w:val="none" w:sz="0" w:space="0" w:color="auto"/>
            <w:bottom w:val="none" w:sz="0" w:space="0" w:color="auto"/>
            <w:right w:val="none" w:sz="0" w:space="0" w:color="auto"/>
          </w:divBdr>
          <w:divsChild>
            <w:div w:id="16650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1029">
      <w:bodyDiv w:val="1"/>
      <w:marLeft w:val="0"/>
      <w:marRight w:val="0"/>
      <w:marTop w:val="0"/>
      <w:marBottom w:val="0"/>
      <w:divBdr>
        <w:top w:val="none" w:sz="0" w:space="0" w:color="auto"/>
        <w:left w:val="none" w:sz="0" w:space="0" w:color="auto"/>
        <w:bottom w:val="none" w:sz="0" w:space="0" w:color="auto"/>
        <w:right w:val="none" w:sz="0" w:space="0" w:color="auto"/>
      </w:divBdr>
      <w:divsChild>
        <w:div w:id="637615411">
          <w:marLeft w:val="0"/>
          <w:marRight w:val="0"/>
          <w:marTop w:val="0"/>
          <w:marBottom w:val="0"/>
          <w:divBdr>
            <w:top w:val="none" w:sz="0" w:space="0" w:color="auto"/>
            <w:left w:val="none" w:sz="0" w:space="0" w:color="auto"/>
            <w:bottom w:val="none" w:sz="0" w:space="0" w:color="auto"/>
            <w:right w:val="none" w:sz="0" w:space="0" w:color="auto"/>
          </w:divBdr>
          <w:divsChild>
            <w:div w:id="13659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03721">
      <w:bodyDiv w:val="1"/>
      <w:marLeft w:val="0"/>
      <w:marRight w:val="0"/>
      <w:marTop w:val="0"/>
      <w:marBottom w:val="0"/>
      <w:divBdr>
        <w:top w:val="none" w:sz="0" w:space="0" w:color="auto"/>
        <w:left w:val="none" w:sz="0" w:space="0" w:color="auto"/>
        <w:bottom w:val="none" w:sz="0" w:space="0" w:color="auto"/>
        <w:right w:val="none" w:sz="0" w:space="0" w:color="auto"/>
      </w:divBdr>
    </w:div>
    <w:div w:id="20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BFD9-31CC-436B-A64F-5EE931B6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5285</Words>
  <Characters>30127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35342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 O</dc:creator>
  <cp:lastModifiedBy>Frances Kreimer</cp:lastModifiedBy>
  <cp:revision>4</cp:revision>
  <cp:lastPrinted>2017-04-13T17:59:00Z</cp:lastPrinted>
  <dcterms:created xsi:type="dcterms:W3CDTF">2017-10-20T20:58:00Z</dcterms:created>
  <dcterms:modified xsi:type="dcterms:W3CDTF">2017-10-20T23:59:00Z</dcterms:modified>
</cp:coreProperties>
</file>