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C7C2" w14:textId="6E8D0AEC" w:rsidR="00A3104D" w:rsidRPr="007F7AEB" w:rsidRDefault="00A3104D" w:rsidP="00792C48">
      <w:pPr>
        <w:jc w:val="right"/>
        <w:outlineLvl w:val="0"/>
        <w:rPr>
          <w:b/>
          <w:highlight w:val="yellow"/>
          <w:u w:val="single"/>
        </w:rPr>
      </w:pPr>
      <w:r w:rsidRPr="00D0785E">
        <w:rPr>
          <w:rFonts w:eastAsia="Times New Roman"/>
          <w:b/>
          <w:bCs/>
          <w:highlight w:val="yellow"/>
          <w:u w:val="single"/>
        </w:rPr>
        <w:t>Detained/Non-Detained</w:t>
      </w:r>
      <w:r w:rsidR="000C7475">
        <w:rPr>
          <w:rStyle w:val="FootnoteReference"/>
          <w:rFonts w:eastAsia="Times New Roman"/>
          <w:b/>
          <w:bCs/>
          <w:highlight w:val="yellow"/>
          <w:u w:val="single"/>
        </w:rPr>
        <w:footnoteReference w:id="1"/>
      </w:r>
      <w:r w:rsidRPr="007F7AEB">
        <w:rPr>
          <w:rFonts w:eastAsia="Times New Roman"/>
          <w:bCs/>
        </w:rPr>
        <w:tab/>
        <w:t xml:space="preserve"> </w:t>
      </w:r>
    </w:p>
    <w:p w14:paraId="6B3C3F55" w14:textId="77777777" w:rsidR="00A3104D" w:rsidRPr="007F7AEB" w:rsidRDefault="00A3104D" w:rsidP="00A3104D">
      <w:pPr>
        <w:rPr>
          <w:lang w:eastAsia="ja-JP"/>
        </w:rPr>
      </w:pPr>
      <w:r w:rsidRPr="00D0785E">
        <w:rPr>
          <w:highlight w:val="yellow"/>
          <w:lang w:eastAsia="ja-JP"/>
        </w:rPr>
        <w:t>[ENTER ATTORNEY INFO HERE]</w:t>
      </w:r>
    </w:p>
    <w:p w14:paraId="01568244" w14:textId="77777777" w:rsidR="00A3104D" w:rsidRPr="007F7AEB" w:rsidRDefault="00A3104D" w:rsidP="00A3104D">
      <w:pPr>
        <w:jc w:val="center"/>
        <w:rPr>
          <w:rFonts w:eastAsia="Times New Roman"/>
        </w:rPr>
      </w:pPr>
    </w:p>
    <w:p w14:paraId="6ED00AD8" w14:textId="77777777" w:rsidR="00A3104D" w:rsidRPr="007F7AEB" w:rsidRDefault="00A3104D" w:rsidP="00A3104D">
      <w:pPr>
        <w:jc w:val="center"/>
        <w:rPr>
          <w:rFonts w:eastAsia="Times New Roman"/>
        </w:rPr>
      </w:pPr>
    </w:p>
    <w:p w14:paraId="3E3CFDC0" w14:textId="77777777" w:rsidR="00A3104D" w:rsidRPr="007F7AEB" w:rsidRDefault="00A3104D" w:rsidP="00792C48">
      <w:pPr>
        <w:jc w:val="center"/>
        <w:outlineLvl w:val="0"/>
        <w:rPr>
          <w:rFonts w:eastAsia="Times New Roman"/>
        </w:rPr>
      </w:pPr>
      <w:r w:rsidRPr="007F7AEB">
        <w:rPr>
          <w:rFonts w:eastAsia="Times New Roman"/>
        </w:rPr>
        <w:t>UNITED STATES DEPARTMENT OF JUSTICE</w:t>
      </w:r>
    </w:p>
    <w:p w14:paraId="44DF88BD" w14:textId="77777777" w:rsidR="00A3104D" w:rsidRPr="007F7AEB" w:rsidRDefault="00A3104D" w:rsidP="00A3104D">
      <w:pPr>
        <w:jc w:val="center"/>
        <w:rPr>
          <w:rFonts w:eastAsia="Times New Roman"/>
        </w:rPr>
      </w:pPr>
      <w:r w:rsidRPr="007F7AEB">
        <w:rPr>
          <w:rFonts w:eastAsia="Times New Roman"/>
        </w:rPr>
        <w:t>EXECUTIVE OFFICE FOR IMMIGRATION REVIEW</w:t>
      </w:r>
    </w:p>
    <w:p w14:paraId="4E8D9A45" w14:textId="77777777" w:rsidR="00A3104D" w:rsidRPr="007F7AEB" w:rsidRDefault="00A3104D" w:rsidP="00A3104D">
      <w:pPr>
        <w:jc w:val="center"/>
        <w:rPr>
          <w:rFonts w:eastAsia="Times New Roman"/>
        </w:rPr>
      </w:pPr>
      <w:r w:rsidRPr="007F7AEB">
        <w:rPr>
          <w:rFonts w:eastAsia="Times New Roman"/>
        </w:rPr>
        <w:t>OFFICE OF THE IMMIGRATION JUDGE</w:t>
      </w:r>
    </w:p>
    <w:p w14:paraId="29641A37" w14:textId="77777777" w:rsidR="00A3104D" w:rsidRPr="007F7AEB" w:rsidRDefault="00A3104D" w:rsidP="00A3104D">
      <w:pPr>
        <w:jc w:val="center"/>
        <w:rPr>
          <w:rFonts w:eastAsia="Times New Roman"/>
        </w:rPr>
      </w:pPr>
      <w:r w:rsidRPr="007F7AEB">
        <w:rPr>
          <w:rFonts w:eastAsia="Times New Roman"/>
        </w:rPr>
        <w:t>NEW YORK, NEW YORK</w:t>
      </w:r>
    </w:p>
    <w:p w14:paraId="004E7EF6" w14:textId="77777777" w:rsidR="00A3104D" w:rsidRPr="007F7AEB" w:rsidRDefault="00A3104D" w:rsidP="00A3104D">
      <w:pPr>
        <w:rPr>
          <w:rFonts w:eastAsia="Times New Roman"/>
        </w:rPr>
      </w:pPr>
    </w:p>
    <w:p w14:paraId="5E6941B6" w14:textId="77777777" w:rsidR="00A3104D" w:rsidRPr="007F7AEB" w:rsidRDefault="00A3104D" w:rsidP="00A3104D">
      <w:pPr>
        <w:rPr>
          <w:rFonts w:eastAsia="Times New Roman"/>
        </w:rPr>
      </w:pPr>
      <w:r w:rsidRPr="007F7AEB">
        <w:rPr>
          <w:rFonts w:eastAsia="Times New Roman"/>
        </w:rPr>
        <w:t>____________________________</w:t>
      </w:r>
    </w:p>
    <w:p w14:paraId="070AD29E" w14:textId="77777777" w:rsidR="00A3104D" w:rsidRPr="007F7AEB" w:rsidRDefault="00A3104D" w:rsidP="00A3104D">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p>
    <w:p w14:paraId="453E9DB0" w14:textId="77777777" w:rsidR="00A3104D" w:rsidRPr="007F7AEB" w:rsidRDefault="00A3104D" w:rsidP="00A3104D">
      <w:pPr>
        <w:rPr>
          <w:rFonts w:eastAsia="Times New Roman"/>
        </w:rPr>
      </w:pPr>
      <w:r w:rsidRPr="007F7AEB">
        <w:rPr>
          <w:rFonts w:eastAsia="Times New Roman"/>
        </w:rPr>
        <w:t>In the Matter of:</w:t>
      </w:r>
      <w:r w:rsidRPr="007F7AEB">
        <w:rPr>
          <w:rFonts w:eastAsia="Times New Roman"/>
        </w:rPr>
        <w:tab/>
      </w:r>
      <w:r w:rsidRPr="007F7AEB">
        <w:rPr>
          <w:rFonts w:eastAsia="Times New Roman"/>
        </w:rPr>
        <w:tab/>
      </w:r>
      <w:r w:rsidRPr="007F7AEB">
        <w:rPr>
          <w:rFonts w:eastAsia="Times New Roman"/>
        </w:rPr>
        <w:tab/>
        <w:t>)</w:t>
      </w:r>
      <w:r w:rsidRPr="007F7AEB">
        <w:rPr>
          <w:rFonts w:eastAsia="Times New Roman"/>
        </w:rPr>
        <w:tab/>
      </w:r>
      <w:r w:rsidRPr="007F7AEB">
        <w:rPr>
          <w:rFonts w:eastAsia="Times New Roman"/>
        </w:rPr>
        <w:tab/>
      </w:r>
    </w:p>
    <w:p w14:paraId="0E343BD0" w14:textId="77777777" w:rsidR="00A3104D" w:rsidRPr="007F7AEB" w:rsidRDefault="00A3104D" w:rsidP="00A3104D">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p>
    <w:p w14:paraId="04E749FF" w14:textId="77777777" w:rsidR="00A3104D" w:rsidRPr="007F7AEB" w:rsidRDefault="00A3104D" w:rsidP="00A3104D">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r w:rsidRPr="007F7AEB">
        <w:rPr>
          <w:rFonts w:eastAsia="Times New Roman"/>
        </w:rPr>
        <w:tab/>
      </w:r>
      <w:r w:rsidRPr="007F7AEB">
        <w:rPr>
          <w:rFonts w:eastAsia="Times New Roman"/>
        </w:rPr>
        <w:tab/>
      </w:r>
      <w:r w:rsidRPr="00B42AE8">
        <w:rPr>
          <w:rFonts w:eastAsia="Times New Roman"/>
          <w:highlight w:val="yellow"/>
          <w:lang w:bidi="en-US"/>
        </w:rPr>
        <w:t>A##########</w:t>
      </w:r>
    </w:p>
    <w:p w14:paraId="380E6E4A" w14:textId="77777777" w:rsidR="00A3104D" w:rsidRPr="007F7AEB" w:rsidRDefault="00A3104D" w:rsidP="00A3104D">
      <w:pPr>
        <w:rPr>
          <w:rFonts w:eastAsia="Times New Roman"/>
        </w:rPr>
      </w:pPr>
      <w:r w:rsidRPr="00B42AE8">
        <w:rPr>
          <w:rFonts w:eastAsia="Times New Roman"/>
          <w:highlight w:val="yellow"/>
        </w:rPr>
        <w:t>CLIENT</w:t>
      </w:r>
      <w:r w:rsidRPr="007F7AEB">
        <w:rPr>
          <w:rFonts w:eastAsia="Times New Roman"/>
        </w:rPr>
        <w:tab/>
      </w:r>
      <w:r w:rsidRPr="007F7AEB">
        <w:rPr>
          <w:rFonts w:eastAsia="Times New Roman"/>
        </w:rPr>
        <w:tab/>
        <w:t xml:space="preserve">           </w:t>
      </w:r>
      <w:r w:rsidR="00EB2589">
        <w:rPr>
          <w:rFonts w:eastAsia="Times New Roman"/>
        </w:rPr>
        <w:tab/>
        <w:t xml:space="preserve">           </w:t>
      </w:r>
      <w:r w:rsidRPr="007F7AEB">
        <w:rPr>
          <w:rFonts w:eastAsia="Times New Roman"/>
        </w:rPr>
        <w:t xml:space="preserve"> )</w:t>
      </w:r>
      <w:r w:rsidRPr="007F7AEB">
        <w:rPr>
          <w:rFonts w:eastAsia="Times New Roman"/>
        </w:rPr>
        <w:tab/>
      </w:r>
      <w:r w:rsidRPr="007F7AEB">
        <w:rPr>
          <w:rFonts w:eastAsia="Times New Roman"/>
        </w:rPr>
        <w:tab/>
      </w:r>
    </w:p>
    <w:p w14:paraId="1CA9DEA2" w14:textId="77777777" w:rsidR="00A3104D" w:rsidRPr="007F7AEB" w:rsidRDefault="00A3104D" w:rsidP="00A3104D">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p>
    <w:p w14:paraId="3BCEA6D9" w14:textId="77777777" w:rsidR="00A3104D" w:rsidRPr="007F7AEB" w:rsidRDefault="00A3104D" w:rsidP="00A3104D">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p>
    <w:p w14:paraId="01E39CF1" w14:textId="77777777" w:rsidR="00A3104D" w:rsidRPr="007F7AEB" w:rsidRDefault="00A3104D" w:rsidP="00A3104D">
      <w:pPr>
        <w:rPr>
          <w:rFonts w:eastAsia="Times New Roman"/>
        </w:rPr>
      </w:pPr>
      <w:r w:rsidRPr="007F7AEB">
        <w:rPr>
          <w:rFonts w:eastAsia="Times New Roman"/>
        </w:rPr>
        <w:t>In Removal Proceedings</w:t>
      </w:r>
      <w:r w:rsidRPr="007F7AEB">
        <w:rPr>
          <w:rFonts w:eastAsia="Times New Roman"/>
        </w:rPr>
        <w:tab/>
      </w:r>
      <w:r w:rsidRPr="007F7AEB">
        <w:rPr>
          <w:rFonts w:eastAsia="Times New Roman"/>
        </w:rPr>
        <w:tab/>
        <w:t>)</w:t>
      </w:r>
    </w:p>
    <w:p w14:paraId="14086F51" w14:textId="77777777" w:rsidR="00A3104D" w:rsidRPr="007F7AEB" w:rsidRDefault="00A3104D" w:rsidP="00A3104D">
      <w:pPr>
        <w:rPr>
          <w:rFonts w:eastAsia="SimSun"/>
          <w:b/>
        </w:rPr>
      </w:pPr>
      <w:r w:rsidRPr="007F7AEB">
        <w:rPr>
          <w:rFonts w:eastAsia="Times New Roman"/>
        </w:rPr>
        <w:t>____________________________</w:t>
      </w:r>
    </w:p>
    <w:p w14:paraId="22A33EE3" w14:textId="77777777" w:rsidR="00A3104D" w:rsidRPr="007F7AEB" w:rsidRDefault="00A3104D" w:rsidP="00A3104D">
      <w:pPr>
        <w:ind w:left="720"/>
        <w:jc w:val="center"/>
        <w:rPr>
          <w:rFonts w:eastAsiaTheme="minorEastAsia"/>
          <w:b/>
        </w:rPr>
      </w:pPr>
    </w:p>
    <w:p w14:paraId="6BB04761" w14:textId="77777777" w:rsidR="00A3104D" w:rsidRPr="007F7AEB" w:rsidRDefault="00A3104D" w:rsidP="00A3104D">
      <w:pPr>
        <w:ind w:left="720"/>
        <w:jc w:val="center"/>
        <w:rPr>
          <w:b/>
        </w:rPr>
      </w:pPr>
    </w:p>
    <w:p w14:paraId="64AF47ED" w14:textId="77777777" w:rsidR="00A3104D" w:rsidRPr="005130E0" w:rsidRDefault="00A3104D" w:rsidP="00792C48">
      <w:pPr>
        <w:jc w:val="center"/>
        <w:outlineLvl w:val="0"/>
      </w:pPr>
      <w:r w:rsidRPr="007F7AEB">
        <w:rPr>
          <w:b/>
        </w:rPr>
        <w:t xml:space="preserve">Immigration Judge:  </w:t>
      </w:r>
      <w:r w:rsidRPr="007F7AEB">
        <w:rPr>
          <w:b/>
        </w:rPr>
        <w:tab/>
        <w:t>Hearing Date:</w:t>
      </w:r>
      <w:r w:rsidR="005130E0">
        <w:rPr>
          <w:b/>
        </w:rPr>
        <w:t xml:space="preserve"> </w:t>
      </w:r>
    </w:p>
    <w:p w14:paraId="33673A52" w14:textId="77777777" w:rsidR="00A3104D" w:rsidRPr="007F7AEB" w:rsidRDefault="00A3104D" w:rsidP="00A3104D">
      <w:pPr>
        <w:ind w:left="720"/>
        <w:jc w:val="center"/>
        <w:rPr>
          <w:b/>
        </w:rPr>
      </w:pPr>
    </w:p>
    <w:p w14:paraId="1A3532DC" w14:textId="77777777" w:rsidR="00A3104D" w:rsidRPr="007F7AEB" w:rsidRDefault="00A3104D" w:rsidP="00A3104D">
      <w:pPr>
        <w:ind w:left="720"/>
        <w:jc w:val="center"/>
        <w:rPr>
          <w:b/>
        </w:rPr>
      </w:pPr>
    </w:p>
    <w:p w14:paraId="05ECD7F3" w14:textId="77777777" w:rsidR="00A3104D" w:rsidRPr="007F7AEB" w:rsidRDefault="00016F48" w:rsidP="00A3104D">
      <w:pPr>
        <w:jc w:val="center"/>
        <w:rPr>
          <w:b/>
        </w:rPr>
      </w:pPr>
      <w:r w:rsidRPr="005130E0">
        <w:rPr>
          <w:b/>
        </w:rPr>
        <w:t xml:space="preserve">MOTION TO REQUEST SAFEGUARDS FOR </w:t>
      </w:r>
      <w:r w:rsidRPr="00502DF1">
        <w:rPr>
          <w:b/>
          <w:highlight w:val="yellow"/>
        </w:rPr>
        <w:t>CLIENT’s</w:t>
      </w:r>
      <w:r w:rsidRPr="005130E0">
        <w:rPr>
          <w:b/>
        </w:rPr>
        <w:t xml:space="preserve"> MENTAL</w:t>
      </w:r>
      <w:r w:rsidRPr="007F7AEB">
        <w:rPr>
          <w:b/>
        </w:rPr>
        <w:t xml:space="preserve"> HEALTH CONDITIONS AND TO ENSURE FUNDAMENTAL FAIRNESS OF THE </w:t>
      </w:r>
      <w:r w:rsidR="00724773">
        <w:rPr>
          <w:b/>
        </w:rPr>
        <w:t>REMOVAL</w:t>
      </w:r>
      <w:r w:rsidRPr="007F7AEB">
        <w:rPr>
          <w:b/>
        </w:rPr>
        <w:t xml:space="preserve"> PROCEEDING</w:t>
      </w:r>
    </w:p>
    <w:p w14:paraId="6A253754" w14:textId="77777777" w:rsidR="00A3104D" w:rsidRPr="007F7AEB" w:rsidRDefault="00A3104D" w:rsidP="00A3104D">
      <w:pPr>
        <w:rPr>
          <w:b/>
        </w:rPr>
        <w:sectPr w:rsidR="00A3104D" w:rsidRPr="007F7AEB">
          <w:footerReference w:type="default" r:id="rId8"/>
          <w:pgSz w:w="12240" w:h="15840"/>
          <w:pgMar w:top="1440" w:right="1440" w:bottom="1440" w:left="1440" w:header="720" w:footer="720" w:gutter="0"/>
          <w:cols w:space="720"/>
        </w:sectPr>
      </w:pPr>
    </w:p>
    <w:p w14:paraId="30C8783E" w14:textId="77777777" w:rsidR="00A3104D" w:rsidRPr="007F7AEB" w:rsidRDefault="00A3104D" w:rsidP="00792C48">
      <w:pPr>
        <w:spacing w:line="480" w:lineRule="auto"/>
        <w:jc w:val="center"/>
        <w:outlineLvl w:val="0"/>
        <w:rPr>
          <w:b/>
          <w:u w:val="single"/>
        </w:rPr>
      </w:pPr>
      <w:r w:rsidRPr="007F7AEB">
        <w:rPr>
          <w:b/>
          <w:u w:val="single"/>
        </w:rPr>
        <w:lastRenderedPageBreak/>
        <w:t xml:space="preserve">TABLE OF CONTENTS </w:t>
      </w:r>
    </w:p>
    <w:p w14:paraId="15B9BD7D" w14:textId="77777777" w:rsidR="00A3104D" w:rsidRPr="00B423EA" w:rsidRDefault="00A3104D" w:rsidP="00792C48">
      <w:pPr>
        <w:spacing w:line="480" w:lineRule="auto"/>
        <w:outlineLvl w:val="0"/>
      </w:pPr>
      <w:r w:rsidRPr="00B423EA">
        <w:t xml:space="preserve">INTRODUCTION </w:t>
      </w:r>
    </w:p>
    <w:p w14:paraId="11A72B85" w14:textId="77777777" w:rsidR="00A3104D" w:rsidRPr="00B423EA" w:rsidRDefault="00A3104D" w:rsidP="00792C48">
      <w:pPr>
        <w:spacing w:line="480" w:lineRule="auto"/>
        <w:outlineLvl w:val="0"/>
      </w:pPr>
      <w:r w:rsidRPr="00B423EA">
        <w:t>PROCEDURAL HISTORY AND BACKGROUND</w:t>
      </w:r>
    </w:p>
    <w:p w14:paraId="553D4F41" w14:textId="77777777" w:rsidR="00B423EA" w:rsidRPr="00B423EA" w:rsidRDefault="00A3104D" w:rsidP="00A3104D">
      <w:pPr>
        <w:spacing w:line="480" w:lineRule="auto"/>
      </w:pPr>
      <w:r w:rsidRPr="00B423EA">
        <w:t xml:space="preserve">ARGUMENT </w:t>
      </w:r>
    </w:p>
    <w:p w14:paraId="2C164476" w14:textId="77777777" w:rsidR="00B423EA" w:rsidRPr="00CD1239" w:rsidRDefault="0058501D" w:rsidP="00B423EA">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The Court Must Adopt Appropriate Safeguards to Ensure that Immigration Court Proceedings Remain Fair </w:t>
      </w:r>
      <w:r w:rsidR="00B13E05">
        <w:rPr>
          <w:rFonts w:ascii="Times New Roman" w:hAnsi="Times New Roman" w:cs="Times New Roman"/>
        </w:rPr>
        <w:t xml:space="preserve">for People with Cognitive Disabilities like </w:t>
      </w:r>
      <w:r w:rsidR="00B13E05" w:rsidRPr="00502DF1">
        <w:rPr>
          <w:rFonts w:ascii="Times New Roman" w:hAnsi="Times New Roman" w:cs="Times New Roman"/>
          <w:highlight w:val="yellow"/>
        </w:rPr>
        <w:t>CLIENT</w:t>
      </w:r>
    </w:p>
    <w:p w14:paraId="6D4D2028" w14:textId="77777777" w:rsidR="00C842E8" w:rsidRDefault="00B423EA" w:rsidP="00B423EA">
      <w:pPr>
        <w:pStyle w:val="ListParagraph"/>
        <w:numPr>
          <w:ilvl w:val="0"/>
          <w:numId w:val="9"/>
        </w:numPr>
        <w:spacing w:line="480" w:lineRule="auto"/>
        <w:rPr>
          <w:rFonts w:ascii="Times New Roman" w:hAnsi="Times New Roman" w:cs="Times New Roman"/>
        </w:rPr>
      </w:pPr>
      <w:r w:rsidRPr="00CD1239">
        <w:rPr>
          <w:rFonts w:ascii="Times New Roman" w:hAnsi="Times New Roman" w:cs="Times New Roman"/>
        </w:rPr>
        <w:t xml:space="preserve">Appropriate Safeguards </w:t>
      </w:r>
      <w:r w:rsidR="00C842E8">
        <w:rPr>
          <w:rFonts w:ascii="Times New Roman" w:hAnsi="Times New Roman" w:cs="Times New Roman"/>
        </w:rPr>
        <w:t xml:space="preserve">Will </w:t>
      </w:r>
      <w:r w:rsidR="007C4144">
        <w:rPr>
          <w:rFonts w:ascii="Times New Roman" w:hAnsi="Times New Roman" w:cs="Times New Roman"/>
        </w:rPr>
        <w:t xml:space="preserve">Protect </w:t>
      </w:r>
      <w:r w:rsidR="007C4144" w:rsidRPr="00502DF1">
        <w:rPr>
          <w:rFonts w:ascii="Times New Roman" w:hAnsi="Times New Roman" w:cs="Times New Roman"/>
          <w:highlight w:val="yellow"/>
        </w:rPr>
        <w:t>CLIENT’s</w:t>
      </w:r>
      <w:r w:rsidR="007C4144">
        <w:rPr>
          <w:rFonts w:ascii="Times New Roman" w:hAnsi="Times New Roman" w:cs="Times New Roman"/>
        </w:rPr>
        <w:t xml:space="preserve"> Right to Testify, Rebut, and</w:t>
      </w:r>
      <w:r w:rsidR="0007563D">
        <w:rPr>
          <w:rFonts w:ascii="Times New Roman" w:hAnsi="Times New Roman" w:cs="Times New Roman"/>
        </w:rPr>
        <w:t xml:space="preserve"> Present Evidence in Immigration</w:t>
      </w:r>
      <w:r w:rsidR="007C4144">
        <w:rPr>
          <w:rFonts w:ascii="Times New Roman" w:hAnsi="Times New Roman" w:cs="Times New Roman"/>
        </w:rPr>
        <w:t xml:space="preserve">. </w:t>
      </w:r>
    </w:p>
    <w:p w14:paraId="42D78EB3" w14:textId="77777777" w:rsidR="00906E7B" w:rsidRDefault="00906E7B" w:rsidP="00792C48">
      <w:pPr>
        <w:pStyle w:val="ListParagraph"/>
        <w:numPr>
          <w:ilvl w:val="1"/>
          <w:numId w:val="9"/>
        </w:numPr>
        <w:spacing w:line="480" w:lineRule="auto"/>
        <w:rPr>
          <w:rFonts w:ascii="Times New Roman" w:hAnsi="Times New Roman" w:cs="Times New Roman"/>
        </w:rPr>
      </w:pPr>
      <w:r>
        <w:rPr>
          <w:rFonts w:ascii="Times New Roman" w:hAnsi="Times New Roman" w:cs="Times New Roman"/>
        </w:rPr>
        <w:t xml:space="preserve">The Court Should </w:t>
      </w:r>
      <w:r w:rsidR="00681318">
        <w:rPr>
          <w:rFonts w:ascii="Times New Roman" w:hAnsi="Times New Roman" w:cs="Times New Roman"/>
        </w:rPr>
        <w:t xml:space="preserve">Not </w:t>
      </w:r>
      <w:r w:rsidR="00ED0E83">
        <w:rPr>
          <w:rFonts w:ascii="Times New Roman" w:hAnsi="Times New Roman" w:cs="Times New Roman"/>
        </w:rPr>
        <w:t xml:space="preserve">Draw </w:t>
      </w:r>
      <w:r>
        <w:rPr>
          <w:rFonts w:ascii="Times New Roman" w:hAnsi="Times New Roman" w:cs="Times New Roman"/>
        </w:rPr>
        <w:t xml:space="preserve">Any </w:t>
      </w:r>
      <w:r w:rsidR="00681318">
        <w:rPr>
          <w:rFonts w:ascii="Times New Roman" w:hAnsi="Times New Roman" w:cs="Times New Roman"/>
        </w:rPr>
        <w:t xml:space="preserve">Adverse </w:t>
      </w:r>
      <w:r>
        <w:rPr>
          <w:rFonts w:ascii="Times New Roman" w:hAnsi="Times New Roman" w:cs="Times New Roman"/>
        </w:rPr>
        <w:t xml:space="preserve">Inference </w:t>
      </w:r>
      <w:r w:rsidR="00ED0E83">
        <w:rPr>
          <w:rFonts w:ascii="Times New Roman" w:hAnsi="Times New Roman" w:cs="Times New Roman"/>
        </w:rPr>
        <w:t xml:space="preserve">if </w:t>
      </w:r>
      <w:r w:rsidR="00ED0E83" w:rsidRPr="00502DF1">
        <w:rPr>
          <w:rFonts w:ascii="Times New Roman" w:hAnsi="Times New Roman" w:cs="Times New Roman"/>
          <w:highlight w:val="yellow"/>
        </w:rPr>
        <w:t>CLIENT</w:t>
      </w:r>
      <w:r w:rsidR="00ED0E83">
        <w:rPr>
          <w:rFonts w:ascii="Times New Roman" w:hAnsi="Times New Roman" w:cs="Times New Roman"/>
        </w:rPr>
        <w:t xml:space="preserve"> Does Not Testify</w:t>
      </w:r>
    </w:p>
    <w:p w14:paraId="628A3FB8" w14:textId="77777777" w:rsidR="007C4144" w:rsidRDefault="00EC09EF" w:rsidP="00792C48">
      <w:pPr>
        <w:pStyle w:val="ListParagraph"/>
        <w:numPr>
          <w:ilvl w:val="1"/>
          <w:numId w:val="9"/>
        </w:numPr>
        <w:spacing w:line="480" w:lineRule="auto"/>
        <w:rPr>
          <w:rFonts w:ascii="Times New Roman" w:hAnsi="Times New Roman" w:cs="Times New Roman"/>
        </w:rPr>
      </w:pPr>
      <w:r>
        <w:rPr>
          <w:rFonts w:ascii="Times New Roman" w:hAnsi="Times New Roman" w:cs="Times New Roman"/>
        </w:rPr>
        <w:t xml:space="preserve">Appropriate Safeguards Should Include </w:t>
      </w:r>
      <w:r w:rsidR="00F1593D">
        <w:rPr>
          <w:rFonts w:ascii="Times New Roman" w:hAnsi="Times New Roman" w:cs="Times New Roman"/>
        </w:rPr>
        <w:t xml:space="preserve">Granting </w:t>
      </w:r>
      <w:r w:rsidR="00C842E8">
        <w:rPr>
          <w:rFonts w:ascii="Times New Roman" w:hAnsi="Times New Roman" w:cs="Times New Roman"/>
        </w:rPr>
        <w:t>Permission to Ask Leading Questions</w:t>
      </w:r>
      <w:r w:rsidR="007C4144">
        <w:rPr>
          <w:rFonts w:ascii="Times New Roman" w:hAnsi="Times New Roman" w:cs="Times New Roman"/>
        </w:rPr>
        <w:t xml:space="preserve"> During Direct Examination </w:t>
      </w:r>
    </w:p>
    <w:p w14:paraId="6CBB55C0" w14:textId="77777777" w:rsidR="00C842E8" w:rsidRDefault="00906E7B" w:rsidP="00792C48">
      <w:pPr>
        <w:pStyle w:val="ListParagraph"/>
        <w:numPr>
          <w:ilvl w:val="1"/>
          <w:numId w:val="9"/>
        </w:numPr>
        <w:spacing w:line="480" w:lineRule="auto"/>
        <w:rPr>
          <w:rFonts w:ascii="Times New Roman" w:hAnsi="Times New Roman" w:cs="Times New Roman"/>
        </w:rPr>
      </w:pPr>
      <w:r>
        <w:rPr>
          <w:rFonts w:ascii="Times New Roman" w:hAnsi="Times New Roman" w:cs="Times New Roman"/>
        </w:rPr>
        <w:t xml:space="preserve">Appropriate Safeguards Should Include </w:t>
      </w:r>
      <w:r w:rsidR="00F1593D">
        <w:rPr>
          <w:rFonts w:ascii="Times New Roman" w:hAnsi="Times New Roman" w:cs="Times New Roman"/>
        </w:rPr>
        <w:t xml:space="preserve">Permitting </w:t>
      </w:r>
      <w:r w:rsidR="007C4144">
        <w:rPr>
          <w:rFonts w:ascii="Times New Roman" w:hAnsi="Times New Roman" w:cs="Times New Roman"/>
        </w:rPr>
        <w:t>Short Breaks Between Questioning and Close</w:t>
      </w:r>
      <w:r w:rsidR="00F1593D">
        <w:rPr>
          <w:rFonts w:ascii="Times New Roman" w:hAnsi="Times New Roman" w:cs="Times New Roman"/>
        </w:rPr>
        <w:t>ly</w:t>
      </w:r>
      <w:r w:rsidR="007C4144">
        <w:rPr>
          <w:rFonts w:ascii="Times New Roman" w:hAnsi="Times New Roman" w:cs="Times New Roman"/>
        </w:rPr>
        <w:t xml:space="preserve"> </w:t>
      </w:r>
      <w:r w:rsidR="00F1593D">
        <w:rPr>
          <w:rFonts w:ascii="Times New Roman" w:hAnsi="Times New Roman" w:cs="Times New Roman"/>
        </w:rPr>
        <w:t>Monitoring the</w:t>
      </w:r>
      <w:r w:rsidR="00C842E8">
        <w:rPr>
          <w:rFonts w:ascii="Times New Roman" w:hAnsi="Times New Roman" w:cs="Times New Roman"/>
        </w:rPr>
        <w:t xml:space="preserve"> Tone and For</w:t>
      </w:r>
      <w:r w:rsidR="00F1593D">
        <w:rPr>
          <w:rFonts w:ascii="Times New Roman" w:hAnsi="Times New Roman" w:cs="Times New Roman"/>
        </w:rPr>
        <w:t xml:space="preserve">m </w:t>
      </w:r>
      <w:r w:rsidR="0007563D">
        <w:rPr>
          <w:rFonts w:ascii="Times New Roman" w:hAnsi="Times New Roman" w:cs="Times New Roman"/>
        </w:rPr>
        <w:t xml:space="preserve">of Questions </w:t>
      </w:r>
      <w:r w:rsidR="00F1593D">
        <w:rPr>
          <w:rFonts w:ascii="Times New Roman" w:hAnsi="Times New Roman" w:cs="Times New Roman"/>
        </w:rPr>
        <w:t xml:space="preserve">During </w:t>
      </w:r>
      <w:r w:rsidR="00D00DF2">
        <w:rPr>
          <w:rFonts w:ascii="Times New Roman" w:hAnsi="Times New Roman" w:cs="Times New Roman"/>
        </w:rPr>
        <w:t>Cross-</w:t>
      </w:r>
      <w:r w:rsidR="00C842E8">
        <w:rPr>
          <w:rFonts w:ascii="Times New Roman" w:hAnsi="Times New Roman" w:cs="Times New Roman"/>
        </w:rPr>
        <w:t>Examination</w:t>
      </w:r>
    </w:p>
    <w:p w14:paraId="69D593C5" w14:textId="77777777" w:rsidR="00EA271B" w:rsidRDefault="00EA271B" w:rsidP="00F1593D">
      <w:pPr>
        <w:pStyle w:val="ListParagraph"/>
        <w:numPr>
          <w:ilvl w:val="1"/>
          <w:numId w:val="9"/>
        </w:numPr>
        <w:spacing w:line="480" w:lineRule="auto"/>
        <w:rPr>
          <w:rFonts w:ascii="Times New Roman" w:hAnsi="Times New Roman" w:cs="Times New Roman"/>
        </w:rPr>
      </w:pPr>
      <w:r>
        <w:rPr>
          <w:rFonts w:ascii="Times New Roman" w:hAnsi="Times New Roman" w:cs="Times New Roman"/>
        </w:rPr>
        <w:t>Appropriate Safeguards Should Also Include Accommodations to the Courtroom Environment</w:t>
      </w:r>
    </w:p>
    <w:p w14:paraId="4192D17F" w14:textId="77777777" w:rsidR="00F1593D" w:rsidRDefault="00F1593D" w:rsidP="00F1593D">
      <w:pPr>
        <w:pStyle w:val="ListParagraph"/>
        <w:numPr>
          <w:ilvl w:val="1"/>
          <w:numId w:val="9"/>
        </w:numPr>
        <w:spacing w:line="480" w:lineRule="auto"/>
        <w:rPr>
          <w:rFonts w:ascii="Times New Roman" w:hAnsi="Times New Roman" w:cs="Times New Roman"/>
        </w:rPr>
      </w:pPr>
      <w:r>
        <w:rPr>
          <w:rFonts w:ascii="Times New Roman" w:hAnsi="Times New Roman" w:cs="Times New Roman"/>
        </w:rPr>
        <w:t xml:space="preserve">When Evaluating </w:t>
      </w:r>
      <w:r w:rsidRPr="00502DF1">
        <w:rPr>
          <w:rFonts w:ascii="Times New Roman" w:hAnsi="Times New Roman" w:cs="Times New Roman"/>
          <w:highlight w:val="yellow"/>
        </w:rPr>
        <w:t>CLIENT’s</w:t>
      </w:r>
      <w:r>
        <w:rPr>
          <w:rFonts w:ascii="Times New Roman" w:hAnsi="Times New Roman" w:cs="Times New Roman"/>
        </w:rPr>
        <w:t xml:space="preserve"> </w:t>
      </w:r>
      <w:r w:rsidR="00EB2589">
        <w:rPr>
          <w:rFonts w:ascii="Times New Roman" w:hAnsi="Times New Roman" w:cs="Times New Roman"/>
        </w:rPr>
        <w:t>Testimony as a Whole for Credibility and Other Discretionary Determinations</w:t>
      </w:r>
      <w:r>
        <w:rPr>
          <w:rFonts w:ascii="Times New Roman" w:hAnsi="Times New Roman" w:cs="Times New Roman"/>
        </w:rPr>
        <w:t xml:space="preserve">, the Court Must Consider </w:t>
      </w:r>
      <w:r w:rsidRPr="00502DF1">
        <w:rPr>
          <w:rFonts w:ascii="Times New Roman" w:hAnsi="Times New Roman" w:cs="Times New Roman"/>
          <w:highlight w:val="yellow"/>
        </w:rPr>
        <w:t>CLIENT’s</w:t>
      </w:r>
      <w:r>
        <w:rPr>
          <w:rFonts w:ascii="Times New Roman" w:hAnsi="Times New Roman" w:cs="Times New Roman"/>
        </w:rPr>
        <w:t xml:space="preserve"> Cognitive Limitations  </w:t>
      </w:r>
    </w:p>
    <w:p w14:paraId="387BC250" w14:textId="77777777" w:rsidR="00A3104D" w:rsidRPr="00792C48" w:rsidRDefault="00A3104D" w:rsidP="00792C48">
      <w:pPr>
        <w:spacing w:line="480" w:lineRule="auto"/>
      </w:pPr>
      <w:r w:rsidRPr="00724773">
        <w:t>CONCLUSION</w:t>
      </w:r>
      <w:r w:rsidRPr="00724773">
        <w:br/>
      </w:r>
      <w:r w:rsidRPr="00724773">
        <w:br/>
      </w:r>
    </w:p>
    <w:p w14:paraId="7EDA5458" w14:textId="77777777" w:rsidR="00A3104D" w:rsidRPr="007F7AEB" w:rsidRDefault="00A3104D" w:rsidP="00A3104D">
      <w:pPr>
        <w:spacing w:line="480" w:lineRule="auto"/>
      </w:pPr>
    </w:p>
    <w:p w14:paraId="18E2B9A5" w14:textId="77777777" w:rsidR="00A3104D" w:rsidRPr="007F7AEB" w:rsidRDefault="00A3104D" w:rsidP="00A3104D">
      <w:pPr>
        <w:spacing w:line="480" w:lineRule="auto"/>
      </w:pPr>
    </w:p>
    <w:p w14:paraId="4CF8A437" w14:textId="77777777" w:rsidR="00A3104D" w:rsidRPr="007F7AEB" w:rsidRDefault="00A3104D" w:rsidP="00A3104D">
      <w:pPr>
        <w:spacing w:line="480" w:lineRule="auto"/>
      </w:pPr>
    </w:p>
    <w:p w14:paraId="79C0B170" w14:textId="77777777" w:rsidR="00906E7B" w:rsidRDefault="00906E7B" w:rsidP="00A3104D">
      <w:pPr>
        <w:spacing w:line="480" w:lineRule="auto"/>
      </w:pPr>
    </w:p>
    <w:p w14:paraId="7063FF42" w14:textId="77777777" w:rsidR="00906E7B" w:rsidRPr="007F7AEB" w:rsidRDefault="00906E7B" w:rsidP="00A3104D">
      <w:pPr>
        <w:spacing w:line="480" w:lineRule="auto"/>
      </w:pPr>
    </w:p>
    <w:p w14:paraId="474484A2" w14:textId="77777777" w:rsidR="00CD1239" w:rsidRDefault="00CD1239" w:rsidP="00792C48">
      <w:pPr>
        <w:spacing w:line="480" w:lineRule="auto"/>
        <w:rPr>
          <w:b/>
        </w:rPr>
      </w:pPr>
    </w:p>
    <w:p w14:paraId="2AA105DB" w14:textId="77777777" w:rsidR="009348DD" w:rsidRPr="007D7A3B" w:rsidRDefault="009B33FC" w:rsidP="00792C48">
      <w:pPr>
        <w:spacing w:line="480" w:lineRule="auto"/>
        <w:jc w:val="center"/>
        <w:outlineLvl w:val="0"/>
        <w:rPr>
          <w:b/>
        </w:rPr>
      </w:pPr>
      <w:r w:rsidRPr="007D7A3B">
        <w:rPr>
          <w:b/>
        </w:rPr>
        <w:t>INTRODUCTION</w:t>
      </w:r>
    </w:p>
    <w:p w14:paraId="7E6A7593" w14:textId="77777777" w:rsidR="00CE2822" w:rsidRDefault="00CE2822" w:rsidP="00B170BB">
      <w:pPr>
        <w:spacing w:line="480" w:lineRule="auto"/>
      </w:pPr>
      <w:r w:rsidRPr="007F7AEB">
        <w:tab/>
      </w:r>
      <w:r w:rsidR="0075576C" w:rsidRPr="00502DF1">
        <w:rPr>
          <w:highlight w:val="yellow"/>
        </w:rPr>
        <w:t>CLIENT</w:t>
      </w:r>
      <w:r w:rsidR="0075576C" w:rsidRPr="007F7AEB">
        <w:t xml:space="preserve"> is a </w:t>
      </w:r>
      <w:r w:rsidR="0075576C" w:rsidRPr="00922B6C">
        <w:rPr>
          <w:highlight w:val="yellow"/>
        </w:rPr>
        <w:t>[age/gender/immigrant status]</w:t>
      </w:r>
      <w:r w:rsidR="0075576C" w:rsidRPr="007F7AEB">
        <w:t xml:space="preserve"> </w:t>
      </w:r>
      <w:r w:rsidR="009B33FC" w:rsidRPr="007F7AEB">
        <w:t>with cognitive and intellectual disabilities</w:t>
      </w:r>
      <w:r w:rsidR="00906E7B">
        <w:t>. Cognitive and intellectual disabilities affect how people process information, how they retrieve that information, and how they respond to th</w:t>
      </w:r>
      <w:r w:rsidR="00922B6C">
        <w:t xml:space="preserve">e environment in which they </w:t>
      </w:r>
      <w:proofErr w:type="gramStart"/>
      <w:r w:rsidR="00922B6C">
        <w:t xml:space="preserve">are </w:t>
      </w:r>
      <w:r w:rsidR="00906E7B">
        <w:t>placed</w:t>
      </w:r>
      <w:proofErr w:type="gramEnd"/>
      <w:r w:rsidR="00906E7B">
        <w:t xml:space="preserve">. Because of these disabilities, </w:t>
      </w:r>
      <w:r w:rsidR="00906E7B" w:rsidRPr="00502DF1">
        <w:rPr>
          <w:highlight w:val="yellow"/>
        </w:rPr>
        <w:t>CLIENT</w:t>
      </w:r>
      <w:r w:rsidR="00906E7B">
        <w:t xml:space="preserve"> cannot </w:t>
      </w:r>
      <w:r w:rsidR="00922B6C">
        <w:t xml:space="preserve">receive a fair hearing without </w:t>
      </w:r>
      <w:r w:rsidR="008F08CE">
        <w:t>accommoda</w:t>
      </w:r>
      <w:r w:rsidR="0075576C" w:rsidRPr="007F7AEB">
        <w:t>t</w:t>
      </w:r>
      <w:r w:rsidR="008F08CE">
        <w:t>ions</w:t>
      </w:r>
      <w:r w:rsidR="005130E0">
        <w:t>.</w:t>
      </w:r>
      <w:r w:rsidR="00C243F9">
        <w:t xml:space="preserve"> The Court can provide these accommodations without making a formal finding of incompetency. </w:t>
      </w:r>
      <w:proofErr w:type="gramStart"/>
      <w:r w:rsidR="00C243F9">
        <w:rPr>
          <w:i/>
        </w:rPr>
        <w:t xml:space="preserve">See Matter of M-A-M, </w:t>
      </w:r>
      <w:r w:rsidR="00C243F9" w:rsidRPr="00CF703B">
        <w:t xml:space="preserve">25 I. &amp; N. Dec. 474 </w:t>
      </w:r>
      <w:r w:rsidR="00C243F9">
        <w:t>(“[T]here are many types of mental illness that . . . would not prevent a respondent from meaningfully participating in immigration proceedings . . . a diagnosis of mental illness does not automatically equate to a lack of competency.”)</w:t>
      </w:r>
      <w:r w:rsidR="00502DF1">
        <w:t xml:space="preserve">; </w:t>
      </w:r>
      <w:r w:rsidR="00502DF1">
        <w:rPr>
          <w:i/>
        </w:rPr>
        <w:t>see also Matter of J-R-R-A</w:t>
      </w:r>
      <w:r w:rsidR="00502DF1">
        <w:t>, 26 I. &amp; N. Dec. 609, 610–12 (BIA 2015) (requiring an accommodation for a respondent with mental health issues without a formal finding of incompetency)</w:t>
      </w:r>
      <w:r w:rsidR="00C243F9">
        <w:t>.</w:t>
      </w:r>
      <w:proofErr w:type="gramEnd"/>
      <w:r w:rsidR="00C243F9">
        <w:t xml:space="preserve"> </w:t>
      </w:r>
      <w:r w:rsidR="009B33FC" w:rsidRPr="007F7AEB">
        <w:t xml:space="preserve"> </w:t>
      </w:r>
      <w:r w:rsidR="00AC1524">
        <w:t xml:space="preserve">In light of </w:t>
      </w:r>
      <w:r w:rsidR="008F08CE">
        <w:t>this fac</w:t>
      </w:r>
      <w:r w:rsidR="00AC1524">
        <w:t>t</w:t>
      </w:r>
      <w:r w:rsidR="0075576C" w:rsidRPr="007F7AEB">
        <w:t xml:space="preserve">, </w:t>
      </w:r>
      <w:r w:rsidR="00D32864" w:rsidRPr="00502DF1">
        <w:rPr>
          <w:highlight w:val="yellow"/>
        </w:rPr>
        <w:t>CLIENT</w:t>
      </w:r>
      <w:r w:rsidR="00D32864" w:rsidRPr="007F7AEB">
        <w:t xml:space="preserve"> respectfully requests that </w:t>
      </w:r>
      <w:r w:rsidR="00296C61" w:rsidRPr="007F7AEB">
        <w:t xml:space="preserve">the </w:t>
      </w:r>
      <w:r w:rsidR="00EF6B1E" w:rsidRPr="007F7AEB">
        <w:t>Court</w:t>
      </w:r>
      <w:r w:rsidR="00296C61" w:rsidRPr="007F7AEB">
        <w:t xml:space="preserve"> provide the accommodations </w:t>
      </w:r>
      <w:r w:rsidR="00C243F9">
        <w:t xml:space="preserve">requested </w:t>
      </w:r>
      <w:r w:rsidR="00502DF1">
        <w:t>to</w:t>
      </w:r>
      <w:r w:rsidR="00EF6B1E" w:rsidRPr="007F7AEB">
        <w:t xml:space="preserve"> ensure that </w:t>
      </w:r>
      <w:r w:rsidR="00A50703" w:rsidRPr="00502DF1">
        <w:rPr>
          <w:highlight w:val="yellow"/>
        </w:rPr>
        <w:t>[his/her]</w:t>
      </w:r>
      <w:r w:rsidR="00A50703" w:rsidRPr="007F7AEB">
        <w:t xml:space="preserve"> </w:t>
      </w:r>
      <w:r w:rsidR="00EF6B1E" w:rsidRPr="007F7AEB">
        <w:t>proceedings remain fundamentally fair</w:t>
      </w:r>
      <w:r w:rsidR="00A50703">
        <w:t>.</w:t>
      </w:r>
    </w:p>
    <w:p w14:paraId="552D927F" w14:textId="77777777" w:rsidR="0014749D" w:rsidRDefault="0014749D" w:rsidP="00792C48">
      <w:pPr>
        <w:spacing w:line="480" w:lineRule="auto"/>
        <w:jc w:val="center"/>
        <w:outlineLvl w:val="0"/>
        <w:rPr>
          <w:b/>
        </w:rPr>
      </w:pPr>
      <w:r>
        <w:rPr>
          <w:b/>
        </w:rPr>
        <w:t xml:space="preserve">PROCEDURAL HISTORY AND BACKGROUND </w:t>
      </w:r>
    </w:p>
    <w:p w14:paraId="5059E2FC" w14:textId="77777777" w:rsidR="0014749D" w:rsidRDefault="0014749D" w:rsidP="00792C48">
      <w:pPr>
        <w:shd w:val="clear" w:color="auto" w:fill="FFFFFF"/>
        <w:spacing w:line="480" w:lineRule="auto"/>
        <w:outlineLvl w:val="0"/>
        <w:rPr>
          <w:rFonts w:eastAsia="Times New Roman"/>
          <w:b/>
          <w:color w:val="000000"/>
        </w:rPr>
      </w:pPr>
      <w:r>
        <w:rPr>
          <w:rFonts w:eastAsia="Times New Roman"/>
          <w:b/>
          <w:color w:val="000000"/>
        </w:rPr>
        <w:t xml:space="preserve">Background on Procedural Posture of Case </w:t>
      </w:r>
    </w:p>
    <w:p w14:paraId="2365B703" w14:textId="77777777" w:rsidR="0014749D" w:rsidRDefault="00502DF1" w:rsidP="00792C48">
      <w:pPr>
        <w:shd w:val="clear" w:color="auto" w:fill="FFFFFF"/>
        <w:spacing w:line="480" w:lineRule="auto"/>
        <w:rPr>
          <w:rFonts w:eastAsia="Times New Roman"/>
          <w:color w:val="000000"/>
        </w:rPr>
      </w:pPr>
      <w:r>
        <w:rPr>
          <w:rFonts w:eastAsia="Times New Roman"/>
          <w:color w:val="000000"/>
          <w:highlight w:val="yellow"/>
        </w:rPr>
        <w:t>[</w:t>
      </w:r>
      <w:proofErr w:type="gramStart"/>
      <w:r w:rsidRPr="00C243F9">
        <w:rPr>
          <w:rFonts w:eastAsia="Times New Roman"/>
          <w:color w:val="000000"/>
          <w:highlight w:val="yellow"/>
        </w:rPr>
        <w:t>including</w:t>
      </w:r>
      <w:proofErr w:type="gramEnd"/>
      <w:r>
        <w:rPr>
          <w:rFonts w:eastAsia="Times New Roman"/>
          <w:color w:val="000000"/>
          <w:highlight w:val="yellow"/>
        </w:rPr>
        <w:t xml:space="preserve"> general background information on CLIENT, including</w:t>
      </w:r>
      <w:r w:rsidRPr="00C243F9">
        <w:rPr>
          <w:rFonts w:eastAsia="Times New Roman"/>
          <w:color w:val="000000"/>
          <w:highlight w:val="yellow"/>
        </w:rPr>
        <w:t xml:space="preserve"> diagnosis and citations to record, evaluations, and any articles in the record]</w:t>
      </w:r>
      <w:r w:rsidRPr="00792C48">
        <w:rPr>
          <w:rFonts w:eastAsia="Times New Roman"/>
          <w:color w:val="000000"/>
        </w:rPr>
        <w:t>   </w:t>
      </w:r>
      <w:r w:rsidRPr="00503DFD" w:rsidDel="006D5E9C">
        <w:rPr>
          <w:rFonts w:eastAsia="Times New Roman"/>
          <w:color w:val="000000"/>
        </w:rPr>
        <w:t xml:space="preserve"> </w:t>
      </w:r>
      <w:r>
        <w:rPr>
          <w:rFonts w:eastAsia="Times New Roman"/>
          <w:color w:val="000000"/>
        </w:rPr>
        <w:t> </w:t>
      </w:r>
      <w:r w:rsidR="0014749D" w:rsidRPr="00792C48">
        <w:rPr>
          <w:rFonts w:eastAsia="Times New Roman"/>
          <w:color w:val="000000"/>
        </w:rPr>
        <w:t>   </w:t>
      </w:r>
    </w:p>
    <w:p w14:paraId="102AC349" w14:textId="77777777" w:rsidR="0014749D" w:rsidRPr="00792C48" w:rsidRDefault="0014749D" w:rsidP="00792C48">
      <w:pPr>
        <w:shd w:val="clear" w:color="auto" w:fill="FFFFFF"/>
        <w:spacing w:line="480" w:lineRule="auto"/>
        <w:outlineLvl w:val="0"/>
        <w:rPr>
          <w:rFonts w:eastAsia="Times New Roman"/>
          <w:b/>
          <w:i/>
          <w:color w:val="000000"/>
        </w:rPr>
      </w:pPr>
      <w:r w:rsidRPr="00792C48">
        <w:rPr>
          <w:rFonts w:eastAsia="Times New Roman"/>
          <w:color w:val="000000"/>
        </w:rPr>
        <w:t>  </w:t>
      </w:r>
      <w:r w:rsidR="00E728C2">
        <w:rPr>
          <w:rFonts w:eastAsia="Times New Roman"/>
          <w:b/>
          <w:color w:val="000000"/>
        </w:rPr>
        <w:t xml:space="preserve">Background on </w:t>
      </w:r>
      <w:r>
        <w:rPr>
          <w:rFonts w:eastAsia="Times New Roman"/>
          <w:b/>
          <w:color w:val="000000"/>
        </w:rPr>
        <w:t xml:space="preserve">Cognitive Limitations </w:t>
      </w:r>
    </w:p>
    <w:p w14:paraId="53928F26" w14:textId="481AE788" w:rsidR="0014749D" w:rsidRPr="00792C48" w:rsidRDefault="0014749D" w:rsidP="00792C48">
      <w:pPr>
        <w:spacing w:line="480" w:lineRule="auto"/>
        <w:rPr>
          <w:rFonts w:eastAsia="Times New Roman"/>
          <w:color w:val="222222"/>
        </w:rPr>
      </w:pPr>
      <w:r w:rsidRPr="00792C48">
        <w:rPr>
          <w:rFonts w:eastAsia="Times New Roman"/>
          <w:color w:val="000000"/>
        </w:rPr>
        <w:t xml:space="preserve">  </w:t>
      </w:r>
      <w:r w:rsidR="00D7389D">
        <w:rPr>
          <w:rFonts w:eastAsia="Times New Roman"/>
          <w:color w:val="000000"/>
        </w:rPr>
        <w:tab/>
      </w:r>
      <w:r w:rsidRPr="00792C48">
        <w:rPr>
          <w:rFonts w:eastAsia="Times New Roman"/>
          <w:color w:val="000000"/>
        </w:rPr>
        <w:t>A</w:t>
      </w:r>
      <w:r w:rsidR="00502DF1">
        <w:rPr>
          <w:rFonts w:eastAsia="Times New Roman"/>
          <w:color w:val="000000"/>
        </w:rPr>
        <w:t xml:space="preserve">pproximately one to three </w:t>
      </w:r>
      <w:proofErr w:type="gramStart"/>
      <w:r w:rsidR="00502DF1">
        <w:rPr>
          <w:rFonts w:eastAsia="Times New Roman"/>
          <w:color w:val="000000"/>
        </w:rPr>
        <w:t>percent</w:t>
      </w:r>
      <w:r w:rsidR="00B42AE8">
        <w:rPr>
          <w:rFonts w:eastAsia="Times New Roman"/>
          <w:color w:val="000000"/>
        </w:rPr>
        <w:t xml:space="preserve"> </w:t>
      </w:r>
      <w:r w:rsidR="00ED0E83">
        <w:rPr>
          <w:rFonts w:eastAsia="Times New Roman"/>
          <w:color w:val="000000"/>
        </w:rPr>
        <w:t xml:space="preserve"> of</w:t>
      </w:r>
      <w:proofErr w:type="gramEnd"/>
      <w:r w:rsidR="00ED0E83">
        <w:rPr>
          <w:rFonts w:eastAsia="Times New Roman"/>
          <w:color w:val="000000"/>
        </w:rPr>
        <w:t xml:space="preserve"> the global population has an intellectual</w:t>
      </w:r>
      <w:r w:rsidR="00CC028E">
        <w:rPr>
          <w:rFonts w:eastAsia="Times New Roman"/>
          <w:color w:val="000000"/>
        </w:rPr>
        <w:t xml:space="preserve"> or </w:t>
      </w:r>
      <w:r w:rsidR="00E728C2">
        <w:rPr>
          <w:rFonts w:eastAsia="Times New Roman"/>
          <w:color w:val="000000"/>
        </w:rPr>
        <w:t xml:space="preserve">cognitive </w:t>
      </w:r>
      <w:r w:rsidR="00ED0E83">
        <w:rPr>
          <w:rFonts w:eastAsia="Times New Roman"/>
          <w:color w:val="000000"/>
        </w:rPr>
        <w:t>disability</w:t>
      </w:r>
      <w:r w:rsidR="006B2F28">
        <w:rPr>
          <w:rFonts w:eastAsia="Times New Roman"/>
          <w:color w:val="000000"/>
        </w:rPr>
        <w:t xml:space="preserve">, or </w:t>
      </w:r>
      <w:r w:rsidR="00E728C2">
        <w:rPr>
          <w:rFonts w:eastAsia="Times New Roman"/>
          <w:color w:val="000000"/>
        </w:rPr>
        <w:t xml:space="preserve">about </w:t>
      </w:r>
      <w:r w:rsidR="006B2F28">
        <w:rPr>
          <w:rFonts w:eastAsia="Times New Roman"/>
          <w:color w:val="000000"/>
        </w:rPr>
        <w:t>200 million people</w:t>
      </w:r>
      <w:r w:rsidR="00ED0E83">
        <w:rPr>
          <w:rFonts w:eastAsia="Times New Roman"/>
          <w:color w:val="000000"/>
        </w:rPr>
        <w:t>.</w:t>
      </w:r>
      <w:r w:rsidR="00D012A4">
        <w:rPr>
          <w:rFonts w:eastAsia="Times New Roman"/>
          <w:color w:val="000000"/>
        </w:rPr>
        <w:t xml:space="preserve"> </w:t>
      </w:r>
      <w:r w:rsidR="006B2F28">
        <w:rPr>
          <w:rFonts w:eastAsia="Times New Roman"/>
          <w:i/>
          <w:color w:val="000000"/>
        </w:rPr>
        <w:t>What is Intellectual Disability</w:t>
      </w:r>
      <w:proofErr w:type="gramStart"/>
      <w:r w:rsidR="006B2F28">
        <w:rPr>
          <w:rFonts w:eastAsia="Times New Roman"/>
          <w:i/>
          <w:color w:val="000000"/>
        </w:rPr>
        <w:t>?</w:t>
      </w:r>
      <w:r w:rsidR="006B2F28">
        <w:rPr>
          <w:rFonts w:eastAsia="Times New Roman"/>
          <w:color w:val="000000"/>
        </w:rPr>
        <w:t>,</w:t>
      </w:r>
      <w:proofErr w:type="gramEnd"/>
      <w:r w:rsidR="006B2F28">
        <w:rPr>
          <w:rFonts w:eastAsia="Times New Roman"/>
          <w:color w:val="000000"/>
        </w:rPr>
        <w:t xml:space="preserve"> Special Olympics,</w:t>
      </w:r>
      <w:r w:rsidR="00E728C2" w:rsidRPr="00E728C2">
        <w:t xml:space="preserve"> </w:t>
      </w:r>
      <w:r w:rsidR="00E728C2" w:rsidRPr="00C22697">
        <w:rPr>
          <w:rFonts w:eastAsia="Times New Roman"/>
        </w:rPr>
        <w:lastRenderedPageBreak/>
        <w:t>http://www.specialolympics.org/Sections/Who_We_Are/What_Is_Intellectual_Disability.aspx</w:t>
      </w:r>
      <w:r w:rsidR="00E728C2">
        <w:rPr>
          <w:rFonts w:eastAsia="Times New Roman"/>
          <w:color w:val="000000"/>
        </w:rPr>
        <w:t xml:space="preserve"> (last visited Apr. 13, 2017). </w:t>
      </w:r>
      <w:r w:rsidR="006B2F28">
        <w:rPr>
          <w:rFonts w:eastAsia="Times New Roman"/>
          <w:color w:val="000000"/>
        </w:rPr>
        <w:t xml:space="preserve"> </w:t>
      </w:r>
      <w:r w:rsidR="00ED0E83">
        <w:rPr>
          <w:rFonts w:eastAsia="Times New Roman"/>
          <w:color w:val="000000"/>
        </w:rPr>
        <w:t xml:space="preserve"> </w:t>
      </w:r>
      <w:r w:rsidRPr="0014749D">
        <w:rPr>
          <w:rFonts w:eastAsia="Times New Roman"/>
          <w:color w:val="000000"/>
        </w:rPr>
        <w:t xml:space="preserve"> </w:t>
      </w:r>
      <w:r w:rsidRPr="00792C48">
        <w:rPr>
          <w:rFonts w:eastAsia="Times New Roman"/>
          <w:color w:val="000000"/>
        </w:rPr>
        <w:t xml:space="preserve">Cognitive disabilities </w:t>
      </w:r>
      <w:proofErr w:type="gramStart"/>
      <w:r w:rsidRPr="00792C48">
        <w:rPr>
          <w:rFonts w:eastAsia="Times New Roman"/>
          <w:color w:val="000000"/>
        </w:rPr>
        <w:t>are characterized</w:t>
      </w:r>
      <w:proofErr w:type="gramEnd"/>
      <w:r w:rsidRPr="00792C48">
        <w:rPr>
          <w:rFonts w:eastAsia="Times New Roman"/>
          <w:color w:val="000000"/>
        </w:rPr>
        <w:t xml:space="preserve"> by limitations in two major areas: 1) intellectual functioning and 2) adaptive behavior, which includes social and practical living skills. </w:t>
      </w:r>
      <w:r w:rsidR="006604D8">
        <w:rPr>
          <w:rFonts w:eastAsia="Times New Roman"/>
          <w:color w:val="000000"/>
        </w:rPr>
        <w:t>A</w:t>
      </w:r>
      <w:r w:rsidR="00BF7483" w:rsidRPr="004B0797">
        <w:rPr>
          <w:color w:val="333333"/>
          <w:shd w:val="clear" w:color="auto" w:fill="FFFFFF"/>
        </w:rPr>
        <w:t>dministration on Intellectual and Developmental Disabilities (AIDD),</w:t>
      </w:r>
      <w:r w:rsidR="00BF7483" w:rsidRPr="004B0797">
        <w:rPr>
          <w:rStyle w:val="m-7778423594856980938gmail-apple-converted-space"/>
          <w:color w:val="333333"/>
          <w:shd w:val="clear" w:color="auto" w:fill="FFFFFF"/>
        </w:rPr>
        <w:t> </w:t>
      </w:r>
      <w:r w:rsidR="00BF7483" w:rsidRPr="00D84FF2">
        <w:rPr>
          <w:i/>
          <w:color w:val="333333"/>
          <w:shd w:val="clear" w:color="auto" w:fill="FFFFFF"/>
        </w:rPr>
        <w:t>AIDD: The President's Committee for People with Intellectual Disabilities</w:t>
      </w:r>
      <w:r w:rsidR="00BF7483" w:rsidRPr="004B0797">
        <w:rPr>
          <w:rStyle w:val="m-7778423594856980938gmail-apple-converted-space"/>
          <w:color w:val="333333"/>
          <w:shd w:val="clear" w:color="auto" w:fill="FFFFFF"/>
        </w:rPr>
        <w:t> </w:t>
      </w:r>
      <w:r w:rsidR="00BF7483" w:rsidRPr="004B0797">
        <w:rPr>
          <w:color w:val="333333"/>
          <w:shd w:val="clear" w:color="auto" w:fill="FFFFFF"/>
        </w:rPr>
        <w:t>(2016),</w:t>
      </w:r>
      <w:r w:rsidR="00BF7483" w:rsidRPr="004B0797">
        <w:rPr>
          <w:rStyle w:val="apple-converted-space"/>
          <w:color w:val="333333"/>
          <w:shd w:val="clear" w:color="auto" w:fill="FFFFFF"/>
        </w:rPr>
        <w:t> </w:t>
      </w:r>
      <w:r w:rsidR="006604D8" w:rsidRPr="00792C48">
        <w:t>https://acl.gov/Programs/AIDD/Programs/PCPID/index.aspx</w:t>
      </w:r>
      <w:r w:rsidR="00BF7483" w:rsidRPr="004B0797">
        <w:rPr>
          <w:rStyle w:val="apple-converted-space"/>
          <w:color w:val="333333"/>
          <w:shd w:val="clear" w:color="auto" w:fill="FFFFFF"/>
        </w:rPr>
        <w:t> </w:t>
      </w:r>
      <w:r w:rsidR="00BF7483" w:rsidRPr="004B0797">
        <w:rPr>
          <w:color w:val="333333"/>
          <w:shd w:val="clear" w:color="auto" w:fill="FFFFFF"/>
        </w:rPr>
        <w:t>(last visited Apr 1, 2017)</w:t>
      </w:r>
      <w:r w:rsidR="00BF7483">
        <w:rPr>
          <w:rFonts w:eastAsia="Times New Roman"/>
          <w:color w:val="000000"/>
        </w:rPr>
        <w:t>.</w:t>
      </w:r>
      <w:r w:rsidR="00C243F9">
        <w:rPr>
          <w:rFonts w:eastAsia="Times New Roman"/>
          <w:color w:val="000000"/>
        </w:rPr>
        <w:t xml:space="preserve"> </w:t>
      </w:r>
      <w:r w:rsidRPr="00792C48">
        <w:rPr>
          <w:rFonts w:eastAsia="Times New Roman"/>
          <w:color w:val="000000"/>
        </w:rPr>
        <w:t>Cognitive disabilities vary, but all affect to some degree an individual’s awareness, perception, reasoning, judgment, memory, and communication capacity. </w:t>
      </w:r>
      <w:r w:rsidR="00280005">
        <w:rPr>
          <w:rFonts w:eastAsia="Times New Roman"/>
          <w:color w:val="000000"/>
        </w:rPr>
        <w:t>People with intellectual or cognitive disabilities also have trouble with learning and processing information, abstract thinking, and using practical problem-solving skills. Nat’l Ctr. Crim. J. &amp; Disability</w:t>
      </w:r>
      <w:r w:rsidR="00EA44D3">
        <w:rPr>
          <w:rFonts w:eastAsia="Times New Roman"/>
          <w:color w:val="000000"/>
        </w:rPr>
        <w:t xml:space="preserve">, </w:t>
      </w:r>
      <w:r w:rsidR="00EA44D3">
        <w:rPr>
          <w:rFonts w:eastAsia="Times New Roman"/>
          <w:i/>
          <w:color w:val="000000"/>
        </w:rPr>
        <w:t>Shining a Light on Traditionally Hidden Disabilities</w:t>
      </w:r>
      <w:r w:rsidR="00D7389D">
        <w:rPr>
          <w:rFonts w:eastAsia="Times New Roman"/>
          <w:i/>
          <w:color w:val="000000"/>
        </w:rPr>
        <w:t xml:space="preserve"> </w:t>
      </w:r>
      <w:r w:rsidR="00E75CA8">
        <w:rPr>
          <w:rFonts w:eastAsia="Times New Roman"/>
          <w:color w:val="000000"/>
        </w:rPr>
        <w:t>(</w:t>
      </w:r>
      <w:r w:rsidR="00D7389D">
        <w:rPr>
          <w:rFonts w:eastAsia="Times New Roman"/>
          <w:color w:val="000000"/>
        </w:rPr>
        <w:t>2014)</w:t>
      </w:r>
      <w:r w:rsidR="00E728C2">
        <w:rPr>
          <w:rFonts w:eastAsia="Times New Roman"/>
          <w:color w:val="000000"/>
        </w:rPr>
        <w:t>,</w:t>
      </w:r>
      <w:r w:rsidR="00E2428E">
        <w:rPr>
          <w:rFonts w:eastAsia="Times New Roman"/>
          <w:color w:val="000000"/>
        </w:rPr>
        <w:t xml:space="preserve"> </w:t>
      </w:r>
      <w:r w:rsidR="00E2428E" w:rsidRPr="00E2428E">
        <w:rPr>
          <w:rFonts w:eastAsia="Times New Roman"/>
          <w:color w:val="000000"/>
        </w:rPr>
        <w:t>https://cops.usdoj.gov/html/dispatch/12-2014/shining_a_light_on_hidden_disabilities.asp</w:t>
      </w:r>
      <w:r w:rsidR="00D7389D">
        <w:rPr>
          <w:rFonts w:eastAsia="Times New Roman"/>
          <w:color w:val="000000"/>
        </w:rPr>
        <w:t xml:space="preserve">. </w:t>
      </w:r>
      <w:r w:rsidR="005252E9">
        <w:rPr>
          <w:rFonts w:eastAsia="Times New Roman"/>
          <w:color w:val="000000"/>
        </w:rPr>
        <w:t xml:space="preserve">Cognitive and intellectual disabilities are “hidden” disabilities, in that it may not always be readily apparent to an observer that a person has cognitive limitations. </w:t>
      </w:r>
      <w:r w:rsidR="005252E9">
        <w:rPr>
          <w:rFonts w:eastAsia="Times New Roman"/>
          <w:i/>
          <w:color w:val="000000"/>
        </w:rPr>
        <w:t>Id</w:t>
      </w:r>
      <w:r w:rsidR="005252E9">
        <w:rPr>
          <w:rFonts w:eastAsia="Times New Roman"/>
          <w:color w:val="000000"/>
        </w:rPr>
        <w:t xml:space="preserve">. Exacerbating this issue is the fact that many people with </w:t>
      </w:r>
      <w:r w:rsidR="00D7389D">
        <w:rPr>
          <w:rFonts w:eastAsia="Times New Roman"/>
          <w:color w:val="000000"/>
        </w:rPr>
        <w:t xml:space="preserve">intellectual </w:t>
      </w:r>
      <w:r w:rsidR="005252E9">
        <w:rPr>
          <w:rFonts w:eastAsia="Times New Roman"/>
          <w:color w:val="000000"/>
        </w:rPr>
        <w:t xml:space="preserve">or cognitive </w:t>
      </w:r>
      <w:r w:rsidR="00D7389D">
        <w:rPr>
          <w:rFonts w:eastAsia="Times New Roman"/>
          <w:color w:val="000000"/>
        </w:rPr>
        <w:t xml:space="preserve">disabilities may pretend to understand </w:t>
      </w:r>
      <w:r w:rsidR="005252E9">
        <w:rPr>
          <w:rFonts w:eastAsia="Times New Roman"/>
          <w:color w:val="000000"/>
        </w:rPr>
        <w:t>in a desire to please others, especially authority figures</w:t>
      </w:r>
      <w:r w:rsidR="00D7389D">
        <w:rPr>
          <w:rFonts w:eastAsia="Times New Roman"/>
          <w:color w:val="000000"/>
        </w:rPr>
        <w:t xml:space="preserve">. </w:t>
      </w:r>
      <w:r w:rsidR="00D7389D">
        <w:rPr>
          <w:rFonts w:eastAsia="Times New Roman"/>
          <w:i/>
          <w:color w:val="000000"/>
        </w:rPr>
        <w:t>See id</w:t>
      </w:r>
      <w:r w:rsidR="00D7389D">
        <w:rPr>
          <w:rFonts w:eastAsia="Times New Roman"/>
          <w:color w:val="000000"/>
        </w:rPr>
        <w:t xml:space="preserve">. </w:t>
      </w:r>
      <w:r w:rsidR="00995DC3">
        <w:rPr>
          <w:rFonts w:eastAsia="Times New Roman"/>
          <w:color w:val="000000"/>
        </w:rPr>
        <w:t xml:space="preserve">These characteristics can make immigration court especially challenging for these individuals. </w:t>
      </w:r>
      <w:r w:rsidR="00D7389D">
        <w:rPr>
          <w:rStyle w:val="tx"/>
          <w:rFonts w:eastAsia="Times New Roman"/>
          <w:bdr w:val="none" w:sz="0" w:space="0" w:color="auto" w:frame="1"/>
        </w:rPr>
        <w:t>D</w:t>
      </w:r>
      <w:r w:rsidRPr="00792C48">
        <w:rPr>
          <w:rFonts w:eastAsia="Times New Roman"/>
          <w:color w:val="000000"/>
        </w:rPr>
        <w:t>espite these limitations</w:t>
      </w:r>
      <w:r w:rsidR="00003B3E" w:rsidRPr="00003B3E">
        <w:rPr>
          <w:rFonts w:eastAsia="Times New Roman"/>
          <w:color w:val="000000"/>
        </w:rPr>
        <w:t xml:space="preserve">, </w:t>
      </w:r>
      <w:r w:rsidR="00EC1604">
        <w:rPr>
          <w:rFonts w:eastAsia="Times New Roman"/>
          <w:color w:val="000000"/>
        </w:rPr>
        <w:t xml:space="preserve">with appropriate accommodations, </w:t>
      </w:r>
      <w:r w:rsidR="00003B3E" w:rsidRPr="00003B3E">
        <w:rPr>
          <w:rFonts w:eastAsia="Times New Roman"/>
          <w:color w:val="000000"/>
        </w:rPr>
        <w:t xml:space="preserve">people with </w:t>
      </w:r>
      <w:r w:rsidR="00003B3E">
        <w:rPr>
          <w:rFonts w:eastAsia="Times New Roman"/>
          <w:color w:val="000000"/>
        </w:rPr>
        <w:t>cognitive</w:t>
      </w:r>
      <w:r w:rsidR="00003B3E" w:rsidRPr="00003B3E">
        <w:rPr>
          <w:rFonts w:eastAsia="Times New Roman"/>
          <w:color w:val="000000"/>
        </w:rPr>
        <w:t xml:space="preserve"> </w:t>
      </w:r>
      <w:r w:rsidR="00003B3E">
        <w:rPr>
          <w:rFonts w:eastAsia="Times New Roman"/>
          <w:color w:val="000000"/>
        </w:rPr>
        <w:t xml:space="preserve">disabilities are still able to lead independent lives. </w:t>
      </w:r>
      <w:r w:rsidRPr="00792C48">
        <w:rPr>
          <w:rFonts w:eastAsia="Times New Roman"/>
          <w:color w:val="000000"/>
        </w:rPr>
        <w:t xml:space="preserve">  </w:t>
      </w:r>
    </w:p>
    <w:p w14:paraId="388A9785" w14:textId="77777777" w:rsidR="0014749D" w:rsidRPr="00792C48" w:rsidRDefault="0014749D">
      <w:pPr>
        <w:spacing w:line="480" w:lineRule="auto"/>
        <w:rPr>
          <w:b/>
        </w:rPr>
      </w:pPr>
    </w:p>
    <w:p w14:paraId="319F2E4D" w14:textId="77777777" w:rsidR="001A1BFE" w:rsidRDefault="001A1BFE" w:rsidP="00792C48">
      <w:pPr>
        <w:spacing w:line="480" w:lineRule="auto"/>
        <w:jc w:val="center"/>
        <w:outlineLvl w:val="0"/>
        <w:rPr>
          <w:b/>
        </w:rPr>
      </w:pPr>
    </w:p>
    <w:p w14:paraId="6F9BEB97" w14:textId="77777777" w:rsidR="001A1BFE" w:rsidRDefault="001A1BFE" w:rsidP="00792C48">
      <w:pPr>
        <w:spacing w:line="480" w:lineRule="auto"/>
        <w:jc w:val="center"/>
        <w:outlineLvl w:val="0"/>
        <w:rPr>
          <w:b/>
        </w:rPr>
      </w:pPr>
    </w:p>
    <w:p w14:paraId="0EA62F26" w14:textId="77777777" w:rsidR="001A1BFE" w:rsidRDefault="001A1BFE" w:rsidP="00792C48">
      <w:pPr>
        <w:spacing w:line="480" w:lineRule="auto"/>
        <w:jc w:val="center"/>
        <w:outlineLvl w:val="0"/>
        <w:rPr>
          <w:b/>
        </w:rPr>
      </w:pPr>
    </w:p>
    <w:p w14:paraId="466361D0" w14:textId="77777777" w:rsidR="001A1BFE" w:rsidRDefault="001A1BFE" w:rsidP="00792C48">
      <w:pPr>
        <w:spacing w:line="480" w:lineRule="auto"/>
        <w:jc w:val="center"/>
        <w:outlineLvl w:val="0"/>
        <w:rPr>
          <w:b/>
        </w:rPr>
      </w:pPr>
    </w:p>
    <w:p w14:paraId="37E3A6AE" w14:textId="0D065123" w:rsidR="00B170BB" w:rsidRPr="00C706AB" w:rsidRDefault="00F72E6F" w:rsidP="00792C48">
      <w:pPr>
        <w:spacing w:line="480" w:lineRule="auto"/>
        <w:jc w:val="center"/>
        <w:outlineLvl w:val="0"/>
        <w:rPr>
          <w:b/>
        </w:rPr>
      </w:pPr>
      <w:r w:rsidRPr="00B268B7">
        <w:rPr>
          <w:b/>
        </w:rPr>
        <w:lastRenderedPageBreak/>
        <w:t>A</w:t>
      </w:r>
      <w:r w:rsidR="00B170BB" w:rsidRPr="00B268B7">
        <w:rPr>
          <w:b/>
        </w:rPr>
        <w:t>RGUMENT</w:t>
      </w:r>
    </w:p>
    <w:p w14:paraId="337E2120" w14:textId="256785AF" w:rsidR="001072C8" w:rsidRPr="00B268B7" w:rsidRDefault="00B268B7" w:rsidP="00B268B7">
      <w:pPr>
        <w:pStyle w:val="ListParagraph"/>
        <w:numPr>
          <w:ilvl w:val="0"/>
          <w:numId w:val="17"/>
        </w:numPr>
        <w:spacing w:line="480" w:lineRule="auto"/>
        <w:rPr>
          <w:rFonts w:ascii="Times New Roman" w:hAnsi="Times New Roman" w:cs="Times New Roman"/>
          <w:b/>
          <w:sz w:val="24"/>
          <w:szCs w:val="24"/>
        </w:rPr>
      </w:pPr>
      <w:bookmarkStart w:id="1" w:name="_Hlk483323518"/>
      <w:r w:rsidRPr="00104CFA">
        <w:rPr>
          <w:rFonts w:ascii="Times New Roman" w:hAnsi="Times New Roman" w:cs="Times New Roman"/>
          <w:b/>
          <w:sz w:val="24"/>
          <w:szCs w:val="24"/>
        </w:rPr>
        <w:t xml:space="preserve">The Court Must Adopt Appropriate Safeguards to Ensure that Immigration Court Proceedings Remain Fair for People With Cognitive Disabilities Like </w:t>
      </w:r>
      <w:r>
        <w:rPr>
          <w:rFonts w:ascii="Times New Roman" w:hAnsi="Times New Roman" w:cs="Times New Roman"/>
          <w:b/>
          <w:sz w:val="24"/>
          <w:szCs w:val="24"/>
          <w:highlight w:val="yellow"/>
        </w:rPr>
        <w:t>CLIE</w:t>
      </w:r>
      <w:r w:rsidRPr="00B268B7">
        <w:rPr>
          <w:rFonts w:ascii="Times New Roman" w:hAnsi="Times New Roman" w:cs="Times New Roman"/>
          <w:b/>
          <w:sz w:val="24"/>
          <w:szCs w:val="24"/>
          <w:highlight w:val="yellow"/>
        </w:rPr>
        <w:t>NT</w:t>
      </w:r>
    </w:p>
    <w:bookmarkEnd w:id="1"/>
    <w:p w14:paraId="08C9A025" w14:textId="0DBA6A76" w:rsidR="00F72E6F" w:rsidRPr="007F7AEB" w:rsidRDefault="00FC7B0C" w:rsidP="00DA40A4">
      <w:pPr>
        <w:spacing w:line="480" w:lineRule="auto"/>
        <w:ind w:firstLine="360"/>
      </w:pPr>
      <w:r>
        <w:t>Pu</w:t>
      </w:r>
      <w:r w:rsidR="0003374F" w:rsidRPr="00C243F9">
        <w:t>r</w:t>
      </w:r>
      <w:r>
        <w:t>suant to</w:t>
      </w:r>
      <w:r w:rsidR="0003374F" w:rsidRPr="00C243F9">
        <w:t xml:space="preserve"> </w:t>
      </w:r>
      <w:r w:rsidR="006A1A43" w:rsidRPr="00C243F9">
        <w:t xml:space="preserve">the INA, </w:t>
      </w:r>
      <w:r w:rsidR="0003374F" w:rsidRPr="00C243F9">
        <w:t xml:space="preserve">Second Circuit and BIA </w:t>
      </w:r>
      <w:proofErr w:type="spellStart"/>
      <w:r w:rsidR="0003374F" w:rsidRPr="00C243F9">
        <w:t>caselaw</w:t>
      </w:r>
      <w:proofErr w:type="spellEnd"/>
      <w:r w:rsidR="0003374F" w:rsidRPr="00C243F9">
        <w:t xml:space="preserve">, </w:t>
      </w:r>
      <w:r w:rsidR="006A1A43" w:rsidRPr="00C243F9">
        <w:t>i</w:t>
      </w:r>
      <w:r w:rsidR="00FB3BEC" w:rsidRPr="00C243F9">
        <w:t>mmigration judges have a responsibility to ensure that</w:t>
      </w:r>
      <w:r w:rsidR="00A84579" w:rsidRPr="00C243F9">
        <w:t xml:space="preserve"> immigration</w:t>
      </w:r>
      <w:r w:rsidR="00D37E44" w:rsidRPr="00C243F9">
        <w:t xml:space="preserve"> </w:t>
      </w:r>
      <w:r w:rsidR="00FB3BEC" w:rsidRPr="00C243F9">
        <w:t>proceedings are fundam</w:t>
      </w:r>
      <w:r w:rsidR="00FB3BEC" w:rsidRPr="007F7AEB">
        <w:t>entally fair</w:t>
      </w:r>
      <w:r w:rsidR="00D37E44" w:rsidRPr="007F7AEB">
        <w:t>.</w:t>
      </w:r>
      <w:r w:rsidR="00D37E44" w:rsidRPr="007F7AEB">
        <w:rPr>
          <w:i/>
        </w:rPr>
        <w:t xml:space="preserve"> </w:t>
      </w:r>
      <w:proofErr w:type="gramStart"/>
      <w:r w:rsidR="00D37E44" w:rsidRPr="007F7AEB">
        <w:rPr>
          <w:i/>
        </w:rPr>
        <w:t xml:space="preserve">See </w:t>
      </w:r>
      <w:r w:rsidR="00D37E44" w:rsidRPr="007F7AEB">
        <w:t>INA § 240(b)(4)(B)</w:t>
      </w:r>
      <w:r w:rsidR="007221D5">
        <w:t xml:space="preserve"> </w:t>
      </w:r>
      <w:r w:rsidR="00FD22DB" w:rsidRPr="007F7AEB">
        <w:t>(</w:t>
      </w:r>
      <w:r w:rsidR="00681318">
        <w:t xml:space="preserve">requiring that respondents </w:t>
      </w:r>
      <w:r w:rsidR="00FD22DB" w:rsidRPr="007F7AEB">
        <w:t xml:space="preserve"> have a “reasonable opportunity” to examine and rebut evidence against them)</w:t>
      </w:r>
      <w:r w:rsidR="00D37E44" w:rsidRPr="007F7AEB">
        <w:t xml:space="preserve">; </w:t>
      </w:r>
      <w:r w:rsidR="00895AFF" w:rsidRPr="007F7AEB">
        <w:rPr>
          <w:i/>
        </w:rPr>
        <w:t xml:space="preserve">Matter </w:t>
      </w:r>
      <w:r w:rsidR="00AA17AD" w:rsidRPr="007F7AEB">
        <w:rPr>
          <w:i/>
        </w:rPr>
        <w:t>of Tomas</w:t>
      </w:r>
      <w:r w:rsidR="00AA17AD" w:rsidRPr="007F7AEB">
        <w:t xml:space="preserve">, </w:t>
      </w:r>
      <w:r w:rsidR="00D37E44" w:rsidRPr="007F7AEB">
        <w:t>19 I. &amp; N. Dec. 464</w:t>
      </w:r>
      <w:r w:rsidR="0058468B" w:rsidRPr="007F7AEB">
        <w:t>, 465</w:t>
      </w:r>
      <w:r w:rsidR="00D37E44" w:rsidRPr="007F7AEB">
        <w:t xml:space="preserve"> (BIA 1987)</w:t>
      </w:r>
      <w:r w:rsidR="0058468B" w:rsidRPr="007F7AEB">
        <w:t xml:space="preserve"> (describing importance of fundamental fairness of </w:t>
      </w:r>
      <w:r w:rsidR="00327597" w:rsidRPr="007F7AEB">
        <w:t>i</w:t>
      </w:r>
      <w:r w:rsidR="0058468B" w:rsidRPr="007F7AEB">
        <w:t>mmigration proceedings)</w:t>
      </w:r>
      <w:r w:rsidR="00D37E44" w:rsidRPr="007F7AEB">
        <w:t>;</w:t>
      </w:r>
      <w:r w:rsidR="00DC4CA0" w:rsidRPr="007F7AEB">
        <w:t xml:space="preserve"> </w:t>
      </w:r>
      <w:r w:rsidR="00DC4CA0" w:rsidRPr="007F7AEB">
        <w:rPr>
          <w:i/>
        </w:rPr>
        <w:t xml:space="preserve">Matter of </w:t>
      </w:r>
      <w:proofErr w:type="spellStart"/>
      <w:r w:rsidR="00DC4CA0" w:rsidRPr="007F7AEB">
        <w:rPr>
          <w:i/>
        </w:rPr>
        <w:t>Exame</w:t>
      </w:r>
      <w:proofErr w:type="spellEnd"/>
      <w:r w:rsidR="00DC4CA0" w:rsidRPr="007F7AEB">
        <w:t>, 18 I. &amp; N. Dec. 303 (BIA 1982)</w:t>
      </w:r>
      <w:r w:rsidR="00D601B7" w:rsidRPr="007F7AEB">
        <w:t xml:space="preserve"> (same)</w:t>
      </w:r>
      <w:r w:rsidR="006A1A43">
        <w:t>;</w:t>
      </w:r>
      <w:r w:rsidR="00F81BAF">
        <w:rPr>
          <w:i/>
        </w:rPr>
        <w:t xml:space="preserve"> United States</w:t>
      </w:r>
      <w:r w:rsidR="00EC01F1" w:rsidRPr="007F7AEB">
        <w:rPr>
          <w:i/>
        </w:rPr>
        <w:t xml:space="preserve"> v. Fernandez-Antonia</w:t>
      </w:r>
      <w:r w:rsidR="000E0878">
        <w:t>, 278 F.3d 150, 156 (2d</w:t>
      </w:r>
      <w:r w:rsidR="00EC01F1" w:rsidRPr="007F7AEB">
        <w:t xml:space="preserve"> Cir. 2002) (“Although the Supreme Court has not specifically delineated the procedural safeguards to be accorded to aliens in deportation or removal hearings, it is well settled that the procedures employed must satisfy due p</w:t>
      </w:r>
      <w:r w:rsidR="00FD22DB" w:rsidRPr="007F7AEB">
        <w:t>rocess.”)</w:t>
      </w:r>
      <w:r w:rsidR="00D37E44" w:rsidRPr="007F7AEB">
        <w:t>.</w:t>
      </w:r>
      <w:proofErr w:type="gramEnd"/>
      <w:r w:rsidR="00D37E44" w:rsidRPr="007F7AEB">
        <w:t xml:space="preserve"> </w:t>
      </w:r>
    </w:p>
    <w:p w14:paraId="3A1164E9" w14:textId="77777777" w:rsidR="008C3306" w:rsidRPr="008C3306" w:rsidRDefault="004C2AC8" w:rsidP="0069101B">
      <w:pPr>
        <w:spacing w:line="480" w:lineRule="auto"/>
        <w:ind w:firstLine="720"/>
      </w:pPr>
      <w:r w:rsidRPr="007F7AEB">
        <w:t xml:space="preserve">In pursuit of fundamental fairness, accommodations may sometimes be necessary </w:t>
      </w:r>
      <w:r w:rsidR="00A84579" w:rsidRPr="007F7AEB">
        <w:t>to ensure that a</w:t>
      </w:r>
      <w:r w:rsidR="00EE1DD6">
        <w:t xml:space="preserve">ll respondents </w:t>
      </w:r>
      <w:r w:rsidR="00A84579" w:rsidRPr="007F7AEB">
        <w:t xml:space="preserve">have a full and fair opportunity to </w:t>
      </w:r>
      <w:proofErr w:type="gramStart"/>
      <w:r w:rsidR="00A84579" w:rsidRPr="007F7AEB">
        <w:t>be heard</w:t>
      </w:r>
      <w:proofErr w:type="gramEnd"/>
      <w:r w:rsidR="00A84579" w:rsidRPr="007F7AEB">
        <w:t xml:space="preserve"> in immigration court. </w:t>
      </w:r>
      <w:r w:rsidR="00B83D4D" w:rsidRPr="00B83D4D">
        <w:t xml:space="preserve"> </w:t>
      </w:r>
      <w:r w:rsidR="0014361A" w:rsidRPr="007F7AEB">
        <w:t xml:space="preserve">For example, the BIA requires noncitizens who do not speak English to have access to a “competent interpreter,” </w:t>
      </w:r>
      <w:r w:rsidR="0014361A">
        <w:t>so that respondent</w:t>
      </w:r>
      <w:r w:rsidR="0014361A" w:rsidRPr="007F7AEB">
        <w:t xml:space="preserve">s and immigration judges alike may understand each other. </w:t>
      </w:r>
      <w:r w:rsidR="0014361A" w:rsidRPr="007F7AEB">
        <w:rPr>
          <w:i/>
        </w:rPr>
        <w:t>Matter of Tomas</w:t>
      </w:r>
      <w:r w:rsidR="0014361A" w:rsidRPr="007F7AEB">
        <w:t xml:space="preserve">, 19 I. &amp; N. Dec. 464 (BIA 1987). </w:t>
      </w:r>
      <w:r w:rsidR="0014361A">
        <w:t xml:space="preserve"> Accommodations for people with mental health is</w:t>
      </w:r>
      <w:r w:rsidR="00A8556C">
        <w:t>sues function in a similar way.</w:t>
      </w:r>
      <w:r w:rsidR="008C3306">
        <w:t xml:space="preserve"> Absent safeguards, a person with a mental disability may testify in a way that confuses rather than clarifies the record. </w:t>
      </w:r>
      <w:r w:rsidR="008C3306">
        <w:rPr>
          <w:i/>
        </w:rPr>
        <w:t>See Matter of J-R-R-A</w:t>
      </w:r>
      <w:r w:rsidR="008C3306">
        <w:t>,</w:t>
      </w:r>
      <w:r w:rsidR="006F71D1">
        <w:t xml:space="preserve"> 26 I. &amp; N. Dec. 609, 611–12</w:t>
      </w:r>
      <w:r w:rsidR="008C3306">
        <w:t xml:space="preserve"> (BIA 2015)</w:t>
      </w:r>
      <w:r w:rsidR="006F71D1">
        <w:t xml:space="preserve"> (describing importance of safeguards for person with cognitive issues)</w:t>
      </w:r>
      <w:r w:rsidR="008C3306">
        <w:t xml:space="preserve">. </w:t>
      </w:r>
    </w:p>
    <w:p w14:paraId="485924B2" w14:textId="5B8F0980" w:rsidR="00840CA1" w:rsidRPr="00E60808" w:rsidRDefault="00827988" w:rsidP="0069101B">
      <w:pPr>
        <w:spacing w:line="480" w:lineRule="auto"/>
        <w:ind w:firstLine="720"/>
      </w:pPr>
      <w:r>
        <w:t>Federal law and regulations require IJs to prescribe safeguards when</w:t>
      </w:r>
      <w:r w:rsidR="009049FF">
        <w:t xml:space="preserve"> necessary to</w:t>
      </w:r>
      <w:r>
        <w:t xml:space="preserve"> en</w:t>
      </w:r>
      <w:r w:rsidR="007A2EDE">
        <w:t>sure that each respondent has a</w:t>
      </w:r>
      <w:r>
        <w:t xml:space="preserve">n “adequate opportunity to present his or her case during a hearing.” </w:t>
      </w:r>
      <w:r>
        <w:rPr>
          <w:i/>
        </w:rPr>
        <w:lastRenderedPageBreak/>
        <w:t>Matter of M-A-M</w:t>
      </w:r>
      <w:r>
        <w:t xml:space="preserve">, 25 I. &amp; N. Dec. 474, </w:t>
      </w:r>
      <w:r w:rsidR="00D00DF2">
        <w:t>477–</w:t>
      </w:r>
      <w:r>
        <w:t>78 (BIA 2011)</w:t>
      </w:r>
      <w:r w:rsidR="00D00DF2" w:rsidRPr="00D00DF2">
        <w:t xml:space="preserve"> </w:t>
      </w:r>
      <w:r w:rsidR="00D00DF2">
        <w:t xml:space="preserve">(“The Act’s invocation of safeguards presumes that proceedings can go </w:t>
      </w:r>
      <w:proofErr w:type="gramStart"/>
      <w:r w:rsidR="009049FF">
        <w:t>forward</w:t>
      </w:r>
      <w:r w:rsidR="008F6B63">
        <w:t>,</w:t>
      </w:r>
      <w:r w:rsidR="009049FF">
        <w:t xml:space="preserve"> . . .</w:t>
      </w:r>
      <w:proofErr w:type="gramEnd"/>
      <w:r w:rsidR="00D00DF2">
        <w:t xml:space="preserve"> provided the proceeding is conducted fairly.”)</w:t>
      </w:r>
      <w:r w:rsidR="007A2EDE">
        <w:t xml:space="preserve">; </w:t>
      </w:r>
      <w:r w:rsidR="00C842E8">
        <w:t xml:space="preserve">INA § 240(b)(3); 8 C.F.R. </w:t>
      </w:r>
      <w:r w:rsidR="008C25A9">
        <w:t>§§ 1240.4, 1240.43</w:t>
      </w:r>
      <w:r w:rsidR="00C842E8">
        <w:t xml:space="preserve"> (2016).</w:t>
      </w:r>
      <w:r w:rsidR="0014361A">
        <w:t xml:space="preserve"> </w:t>
      </w:r>
      <w:r w:rsidR="007221D5">
        <w:t xml:space="preserve">The BIA requires immigration courts to make these accommodations </w:t>
      </w:r>
      <w:proofErr w:type="gramStart"/>
      <w:r w:rsidR="007221D5">
        <w:t>for people with mental health conditions regardless of whether the disability rises to the level of incompetency</w:t>
      </w:r>
      <w:proofErr w:type="gramEnd"/>
      <w:r w:rsidR="007221D5">
        <w:t xml:space="preserve">. </w:t>
      </w:r>
      <w:r w:rsidR="007221D5">
        <w:rPr>
          <w:i/>
        </w:rPr>
        <w:t>See</w:t>
      </w:r>
      <w:r w:rsidR="007221D5">
        <w:t xml:space="preserve"> </w:t>
      </w:r>
      <w:r w:rsidR="007221D5">
        <w:rPr>
          <w:i/>
        </w:rPr>
        <w:t>Matter of J-R-R-A</w:t>
      </w:r>
      <w:r w:rsidR="007221D5">
        <w:t xml:space="preserve">, 26 I. &amp; N. Dec. 609, 610–12 (BIA 2015); </w:t>
      </w:r>
      <w:r w:rsidR="007221D5">
        <w:rPr>
          <w:i/>
        </w:rPr>
        <w:t>Matter of M-A-M</w:t>
      </w:r>
      <w:r w:rsidR="007221D5">
        <w:t xml:space="preserve">, 25 I. &amp; N. Dec. 474, 480 (BIA 2011).  </w:t>
      </w:r>
    </w:p>
    <w:p w14:paraId="1EE1A9A4" w14:textId="01034E93" w:rsidR="0069101B" w:rsidRDefault="0069101B">
      <w:pPr>
        <w:spacing w:line="480" w:lineRule="auto"/>
      </w:pPr>
      <w:r>
        <w:t xml:space="preserve"> </w:t>
      </w:r>
      <w:r>
        <w:tab/>
      </w:r>
      <w:r w:rsidR="00125439" w:rsidRPr="007F7AEB">
        <w:t>Federal regulations guarantee to every noncitizen in removal proceedings a reasonable opportunity to examine and present evidence, including in the form of testimony</w:t>
      </w:r>
      <w:r w:rsidR="00D24DAB">
        <w:t xml:space="preserve"> from</w:t>
      </w:r>
      <w:r w:rsidR="00125439" w:rsidRPr="007F7AEB">
        <w:t xml:space="preserve"> the</w:t>
      </w:r>
      <w:r w:rsidR="00125439">
        <w:t xml:space="preserve"> respondent. </w:t>
      </w:r>
      <w:r w:rsidR="00125439" w:rsidRPr="007F7AEB">
        <w:t xml:space="preserve"> </w:t>
      </w:r>
      <w:proofErr w:type="gramStart"/>
      <w:r w:rsidR="00125439">
        <w:t>8</w:t>
      </w:r>
      <w:proofErr w:type="gramEnd"/>
      <w:r w:rsidR="00125439">
        <w:t xml:space="preserve"> </w:t>
      </w:r>
      <w:r w:rsidR="00125439" w:rsidRPr="007F7AEB">
        <w:t xml:space="preserve">C.F.R. § 1240.10. </w:t>
      </w:r>
      <w:proofErr w:type="gramStart"/>
      <w:r w:rsidR="005D04C9">
        <w:t>S</w:t>
      </w:r>
      <w:r w:rsidR="00840CA1" w:rsidRPr="0069101B">
        <w:t>uch accommod</w:t>
      </w:r>
      <w:r w:rsidR="00DC734B" w:rsidRPr="0069101B">
        <w:t xml:space="preserve">ations are also </w:t>
      </w:r>
      <w:r w:rsidR="00A50703">
        <w:t xml:space="preserve">required by </w:t>
      </w:r>
      <w:r w:rsidR="00840CA1" w:rsidRPr="0069101B">
        <w:t xml:space="preserve">federal laws that require public </w:t>
      </w:r>
      <w:r w:rsidR="00641780">
        <w:t xml:space="preserve">entities </w:t>
      </w:r>
      <w:r w:rsidR="00840CA1" w:rsidRPr="0069101B">
        <w:t xml:space="preserve">to accommodate people with </w:t>
      </w:r>
      <w:r w:rsidR="006308FC" w:rsidRPr="0069101B">
        <w:t xml:space="preserve">cognitive </w:t>
      </w:r>
      <w:r w:rsidR="00840CA1" w:rsidRPr="0069101B">
        <w:t>disabilities</w:t>
      </w:r>
      <w:proofErr w:type="gramEnd"/>
      <w:r w:rsidR="00641780">
        <w:t xml:space="preserve">. </w:t>
      </w:r>
      <w:r w:rsidR="00DC734B" w:rsidRPr="0069101B">
        <w:t>Section 504 of the Rehabilitation Act</w:t>
      </w:r>
      <w:r w:rsidR="00D1763A">
        <w:t xml:space="preserve"> </w:t>
      </w:r>
      <w:r w:rsidR="00641780">
        <w:t xml:space="preserve">compels </w:t>
      </w:r>
      <w:r w:rsidR="00D1763A">
        <w:t xml:space="preserve">all </w:t>
      </w:r>
      <w:r w:rsidR="002B0AD0">
        <w:t>executive agencies</w:t>
      </w:r>
      <w:r w:rsidR="00D1763A">
        <w:t xml:space="preserve"> to p</w:t>
      </w:r>
      <w:r w:rsidR="00641780">
        <w:t xml:space="preserve">rovide “reasonable accommodations” for individuals with disabilities.  </w:t>
      </w:r>
      <w:r w:rsidR="00641780" w:rsidRPr="0069101B">
        <w:rPr>
          <w:i/>
        </w:rPr>
        <w:t>See</w:t>
      </w:r>
      <w:r w:rsidR="00641780" w:rsidRPr="0069101B">
        <w:t xml:space="preserve"> 29 U.S.C. § 794(a)</w:t>
      </w:r>
      <w:proofErr w:type="gramStart"/>
      <w:r w:rsidR="00641780" w:rsidRPr="0069101B">
        <w:t>;</w:t>
      </w:r>
      <w:proofErr w:type="gramEnd"/>
      <w:r w:rsidR="00641780" w:rsidRPr="0069101B">
        <w:t xml:space="preserve"> 28 C.F.R. § 39.130 (</w:t>
      </w:r>
      <w:r w:rsidR="008C25A9">
        <w:t xml:space="preserve">applying the Act requirements to the </w:t>
      </w:r>
      <w:r w:rsidR="00641780" w:rsidRPr="0069101B">
        <w:t>Departme</w:t>
      </w:r>
      <w:r w:rsidR="008C25A9">
        <w:t>nt of Justice</w:t>
      </w:r>
      <w:r w:rsidR="00641780" w:rsidRPr="0069101B">
        <w:t>)</w:t>
      </w:r>
      <w:r w:rsidR="00641780">
        <w:t xml:space="preserve">. </w:t>
      </w:r>
      <w:r w:rsidR="00C422F9">
        <w:t xml:space="preserve">Under the </w:t>
      </w:r>
      <w:r w:rsidR="00641780">
        <w:rPr>
          <w:rFonts w:eastAsia="Times New Roman"/>
        </w:rPr>
        <w:t>Act</w:t>
      </w:r>
      <w:r w:rsidR="00C422F9">
        <w:rPr>
          <w:rFonts w:eastAsia="Times New Roman"/>
        </w:rPr>
        <w:t>,</w:t>
      </w:r>
      <w:r w:rsidR="00641780">
        <w:rPr>
          <w:rFonts w:eastAsia="Times New Roman"/>
        </w:rPr>
        <w:t xml:space="preserve"> </w:t>
      </w:r>
      <w:r w:rsidR="00C422F9">
        <w:rPr>
          <w:rFonts w:eastAsia="Times New Roman"/>
        </w:rPr>
        <w:t xml:space="preserve">this Court has an affirmative obligation </w:t>
      </w:r>
      <w:r w:rsidR="00641780">
        <w:rPr>
          <w:rFonts w:eastAsia="Times New Roman"/>
        </w:rPr>
        <w:t xml:space="preserve">to make reasonable modifications in “policies, practices, and procedures” to ensure </w:t>
      </w:r>
      <w:r w:rsidR="00C422F9">
        <w:rPr>
          <w:rFonts w:eastAsia="Times New Roman"/>
        </w:rPr>
        <w:t xml:space="preserve">people with disabilities </w:t>
      </w:r>
      <w:r w:rsidR="008C25A9">
        <w:rPr>
          <w:rFonts w:eastAsia="Times New Roman"/>
        </w:rPr>
        <w:t>have</w:t>
      </w:r>
      <w:r w:rsidR="00641780">
        <w:rPr>
          <w:rFonts w:eastAsia="Times New Roman"/>
        </w:rPr>
        <w:t xml:space="preserve"> meaningful access to </w:t>
      </w:r>
      <w:r w:rsidR="008C25A9">
        <w:rPr>
          <w:rFonts w:eastAsia="Times New Roman"/>
        </w:rPr>
        <w:t>services or programs</w:t>
      </w:r>
      <w:r w:rsidR="00641780">
        <w:rPr>
          <w:rFonts w:eastAsia="Times New Roman"/>
        </w:rPr>
        <w:t>.</w:t>
      </w:r>
      <w:r w:rsidR="00C422F9">
        <w:rPr>
          <w:rFonts w:eastAsia="Times New Roman"/>
        </w:rPr>
        <w:t xml:space="preserve"> </w:t>
      </w:r>
      <w:r w:rsidR="00C422F9" w:rsidRPr="0069101B">
        <w:rPr>
          <w:i/>
        </w:rPr>
        <w:t>See, e.g.,</w:t>
      </w:r>
      <w:r w:rsidR="00C422F9" w:rsidRPr="00C422F9">
        <w:rPr>
          <w:rFonts w:eastAsia="Times New Roman"/>
        </w:rPr>
        <w:t xml:space="preserve"> </w:t>
      </w:r>
      <w:r w:rsidR="00C422F9" w:rsidRPr="003A7C92">
        <w:rPr>
          <w:rFonts w:eastAsia="Times New Roman"/>
          <w:i/>
        </w:rPr>
        <w:t>Franco-Gonzales v. Holder</w:t>
      </w:r>
      <w:r w:rsidR="00C422F9" w:rsidRPr="003A7C92">
        <w:rPr>
          <w:rFonts w:eastAsia="Times New Roman"/>
        </w:rPr>
        <w:t>, 767 F. Supp. 2d 1034, 1051 (C.D. Cal. 2010)</w:t>
      </w:r>
      <w:r w:rsidR="00C422F9" w:rsidRPr="0069101B">
        <w:rPr>
          <w:rFonts w:eastAsia="Times New Roman"/>
        </w:rPr>
        <w:t xml:space="preserve"> (granting safeguards for mentally ill detainees in immigration court </w:t>
      </w:r>
      <w:r w:rsidR="00C422F9">
        <w:rPr>
          <w:rFonts w:eastAsia="Times New Roman"/>
        </w:rPr>
        <w:t xml:space="preserve">under the Rehabilitation Act). The Supreme Court also recognized this duty in </w:t>
      </w:r>
      <w:r w:rsidR="00C422F9" w:rsidRPr="0069101B">
        <w:rPr>
          <w:i/>
        </w:rPr>
        <w:t>Tennessee v. Lane</w:t>
      </w:r>
      <w:r w:rsidR="00C422F9">
        <w:t xml:space="preserve">, </w:t>
      </w:r>
      <w:r w:rsidR="00A0259C">
        <w:t xml:space="preserve">a case </w:t>
      </w:r>
      <w:r w:rsidR="00755747">
        <w:t xml:space="preserve">where the Court emphasized that accommodations may be required for disabled individuals </w:t>
      </w:r>
      <w:r w:rsidR="00C422F9">
        <w:t>in courts as a guarantee of their f</w:t>
      </w:r>
      <w:r w:rsidR="00755747">
        <w:t>undamental right of access to the court</w:t>
      </w:r>
      <w:r w:rsidR="00C422F9">
        <w:t xml:space="preserve"> under due process protections. </w:t>
      </w:r>
      <w:proofErr w:type="gramStart"/>
      <w:r w:rsidR="00641780" w:rsidRPr="0069101B">
        <w:t>541</w:t>
      </w:r>
      <w:proofErr w:type="gramEnd"/>
      <w:r w:rsidR="00641780" w:rsidRPr="0069101B">
        <w:t xml:space="preserve"> U.S. 509 (2014).</w:t>
      </w:r>
      <w:r w:rsidR="00641780" w:rsidRPr="0069101B">
        <w:rPr>
          <w:rStyle w:val="FootnoteReference"/>
        </w:rPr>
        <w:footnoteReference w:id="2"/>
      </w:r>
    </w:p>
    <w:p w14:paraId="5235BE69" w14:textId="33C8B76B" w:rsidR="00CD251C" w:rsidRDefault="00B81270" w:rsidP="00125439">
      <w:pPr>
        <w:spacing w:line="480" w:lineRule="auto"/>
        <w:ind w:firstLine="720"/>
      </w:pPr>
      <w:r w:rsidRPr="007F7AEB">
        <w:lastRenderedPageBreak/>
        <w:t xml:space="preserve">Providing accommodations will also ensure efficient development of the record. </w:t>
      </w:r>
      <w:r w:rsidR="005A4CE7">
        <w:t>Immigration judges have</w:t>
      </w:r>
      <w:r w:rsidR="008D1D0E" w:rsidRPr="007F7AEB">
        <w:t xml:space="preserve"> an “affirmative obligation to help establish and develop the record” grounded in their capacity to develop evidence during the case.  </w:t>
      </w:r>
      <w:r w:rsidR="00984430">
        <w:rPr>
          <w:i/>
        </w:rPr>
        <w:t xml:space="preserve">United States v. </w:t>
      </w:r>
      <w:proofErr w:type="spellStart"/>
      <w:r w:rsidR="008D1D0E" w:rsidRPr="007F7AEB">
        <w:rPr>
          <w:rStyle w:val="Emphasis"/>
        </w:rPr>
        <w:t>Secaida</w:t>
      </w:r>
      <w:proofErr w:type="spellEnd"/>
      <w:r w:rsidR="008D1D0E" w:rsidRPr="007F7AEB">
        <w:rPr>
          <w:rStyle w:val="Emphasis"/>
        </w:rPr>
        <w:t>-Rosales,</w:t>
      </w:r>
      <w:r w:rsidR="008D1D0E" w:rsidRPr="007F7AEB">
        <w:rPr>
          <w:rStyle w:val="apple-converted-space"/>
        </w:rPr>
        <w:t> </w:t>
      </w:r>
      <w:r w:rsidR="008D1D0E" w:rsidRPr="007F7AEB">
        <w:t>331 F.3d</w:t>
      </w:r>
      <w:r w:rsidR="007C13A6">
        <w:t xml:space="preserve"> 297, 306 </w:t>
      </w:r>
      <w:r w:rsidR="008D1D0E" w:rsidRPr="007F7AEB">
        <w:t>(</w:t>
      </w:r>
      <w:proofErr w:type="gramStart"/>
      <w:r w:rsidR="008D1D0E" w:rsidRPr="007F7AEB">
        <w:t>2d</w:t>
      </w:r>
      <w:proofErr w:type="gramEnd"/>
      <w:r w:rsidR="008D1D0E" w:rsidRPr="007F7AEB">
        <w:t xml:space="preserve"> Cir.2003). Many of the safeguards requested in this motion originated in civil or criminal courts, where there has long been recognition of the usefulness of such safeguards in promoting more efficient</w:t>
      </w:r>
      <w:r w:rsidR="002F5933">
        <w:t xml:space="preserve"> and fair</w:t>
      </w:r>
      <w:r w:rsidR="008D1D0E" w:rsidRPr="007F7AEB">
        <w:t xml:space="preserve"> development of the record. </w:t>
      </w:r>
      <w:r w:rsidR="008D1D0E" w:rsidRPr="007F7AEB">
        <w:rPr>
          <w:i/>
        </w:rPr>
        <w:t>See, e.g.</w:t>
      </w:r>
      <w:r w:rsidR="008D1D0E" w:rsidRPr="007F7AEB">
        <w:t xml:space="preserve">, </w:t>
      </w:r>
      <w:r w:rsidR="00687EF3">
        <w:rPr>
          <w:i/>
        </w:rPr>
        <w:t>United States</w:t>
      </w:r>
      <w:r w:rsidR="008D1D0E" w:rsidRPr="007F7AEB">
        <w:rPr>
          <w:i/>
        </w:rPr>
        <w:t xml:space="preserve"> v. </w:t>
      </w:r>
      <w:proofErr w:type="spellStart"/>
      <w:r w:rsidR="008D1D0E" w:rsidRPr="007F7AEB">
        <w:rPr>
          <w:i/>
        </w:rPr>
        <w:t>Salameh</w:t>
      </w:r>
      <w:proofErr w:type="spellEnd"/>
      <w:r w:rsidR="008D1D0E" w:rsidRPr="007F7AEB">
        <w:t xml:space="preserve">, 152 F.3d 88, 127 (2d. Cir. 1998) (allowing accommodations to develop testimony); </w:t>
      </w:r>
      <w:r w:rsidR="00687EF3">
        <w:rPr>
          <w:i/>
        </w:rPr>
        <w:t>United States</w:t>
      </w:r>
      <w:r w:rsidR="008D1D0E" w:rsidRPr="007F7AEB">
        <w:rPr>
          <w:i/>
        </w:rPr>
        <w:t xml:space="preserve"> v. Callahan</w:t>
      </w:r>
      <w:r w:rsidR="008D1D0E" w:rsidRPr="007F7AEB">
        <w:t>, 801 F.3d 606, 623 (</w:t>
      </w:r>
      <w:proofErr w:type="gramStart"/>
      <w:r w:rsidR="008D1D0E" w:rsidRPr="007F7AEB">
        <w:t>6th</w:t>
      </w:r>
      <w:proofErr w:type="gramEnd"/>
      <w:r w:rsidR="008D1D0E" w:rsidRPr="007F7AEB">
        <w:t xml:space="preserve"> Cir. 2015) (permitting accommodations f</w:t>
      </w:r>
      <w:r w:rsidR="00847D32">
        <w:t xml:space="preserve">or cognitively impaired victim </w:t>
      </w:r>
      <w:r w:rsidR="008D1D0E" w:rsidRPr="007F7AEB">
        <w:t>to “facilitate the progression of the trial and avoid wasting time” and to “make . . . testimony effective for determining the truth”)</w:t>
      </w:r>
      <w:r w:rsidR="006321A8">
        <w:t xml:space="preserve">. </w:t>
      </w:r>
      <w:r w:rsidR="008D1D0E" w:rsidRPr="007F7AEB">
        <w:t xml:space="preserve">Prescribing these safeguards will enhance, rather than detract, from the Court’s aim of ensuring sufficient development of the record in a fundamentally fair proceeding. </w:t>
      </w:r>
    </w:p>
    <w:p w14:paraId="72D6A712" w14:textId="51211B0F" w:rsidR="00891832" w:rsidRPr="00CF703B" w:rsidRDefault="007715E4" w:rsidP="001A1BFE">
      <w:pPr>
        <w:pStyle w:val="ListParagraph"/>
        <w:numPr>
          <w:ilvl w:val="0"/>
          <w:numId w:val="14"/>
        </w:numPr>
        <w:spacing w:line="480" w:lineRule="auto"/>
        <w:rPr>
          <w:rFonts w:ascii="Times New Roman" w:hAnsi="Times New Roman" w:cs="Times New Roman"/>
          <w:b/>
          <w:sz w:val="24"/>
          <w:szCs w:val="24"/>
        </w:rPr>
      </w:pPr>
      <w:r w:rsidRPr="00411E66">
        <w:rPr>
          <w:rFonts w:ascii="Times New Roman" w:hAnsi="Times New Roman" w:cs="Times New Roman"/>
          <w:b/>
          <w:sz w:val="24"/>
          <w:szCs w:val="24"/>
          <w:highlight w:val="yellow"/>
        </w:rPr>
        <w:t>[</w:t>
      </w:r>
      <w:proofErr w:type="gramStart"/>
      <w:r w:rsidRPr="00411E66">
        <w:rPr>
          <w:rFonts w:ascii="Times New Roman" w:hAnsi="Times New Roman" w:cs="Times New Roman"/>
          <w:b/>
          <w:i/>
          <w:sz w:val="24"/>
          <w:szCs w:val="24"/>
          <w:highlight w:val="yellow"/>
        </w:rPr>
        <w:t>t</w:t>
      </w:r>
      <w:r w:rsidRPr="00F54266">
        <w:rPr>
          <w:rFonts w:ascii="Times New Roman" w:hAnsi="Times New Roman" w:cs="Times New Roman"/>
          <w:b/>
          <w:i/>
          <w:sz w:val="24"/>
          <w:szCs w:val="24"/>
          <w:highlight w:val="yellow"/>
        </w:rPr>
        <w:t>his</w:t>
      </w:r>
      <w:proofErr w:type="gramEnd"/>
      <w:r w:rsidRPr="00F54266">
        <w:rPr>
          <w:rFonts w:ascii="Times New Roman" w:hAnsi="Times New Roman" w:cs="Times New Roman"/>
          <w:b/>
          <w:i/>
          <w:sz w:val="24"/>
          <w:szCs w:val="24"/>
          <w:highlight w:val="yellow"/>
        </w:rPr>
        <w:t xml:space="preserve"> section is to be included ONLY if you conclude that your client should not testify. It is </w:t>
      </w:r>
      <w:r w:rsidRPr="00F54266">
        <w:rPr>
          <w:rFonts w:ascii="Times New Roman" w:hAnsi="Times New Roman" w:cs="Times New Roman"/>
          <w:b/>
          <w:sz w:val="24"/>
          <w:szCs w:val="24"/>
          <w:highlight w:val="yellow"/>
        </w:rPr>
        <w:t xml:space="preserve">OPTIONAL] </w:t>
      </w:r>
      <w:r w:rsidR="00891832">
        <w:rPr>
          <w:rFonts w:ascii="Times New Roman" w:hAnsi="Times New Roman" w:cs="Times New Roman"/>
          <w:b/>
          <w:sz w:val="24"/>
          <w:szCs w:val="24"/>
        </w:rPr>
        <w:t xml:space="preserve"> Because of </w:t>
      </w:r>
      <w:r w:rsidR="00891832" w:rsidRPr="00875409">
        <w:rPr>
          <w:rFonts w:ascii="Times New Roman" w:hAnsi="Times New Roman" w:cs="Times New Roman"/>
          <w:b/>
          <w:sz w:val="24"/>
          <w:szCs w:val="24"/>
          <w:highlight w:val="yellow"/>
        </w:rPr>
        <w:t>CLIENT’s</w:t>
      </w:r>
      <w:r w:rsidR="00891832">
        <w:rPr>
          <w:rFonts w:ascii="Times New Roman" w:hAnsi="Times New Roman" w:cs="Times New Roman"/>
          <w:b/>
          <w:sz w:val="24"/>
          <w:szCs w:val="24"/>
        </w:rPr>
        <w:t xml:space="preserve"> Mental Health Conditions </w:t>
      </w:r>
      <w:r w:rsidR="00891832" w:rsidRPr="00CF703B">
        <w:rPr>
          <w:rFonts w:ascii="Times New Roman" w:hAnsi="Times New Roman" w:cs="Times New Roman"/>
          <w:b/>
          <w:sz w:val="24"/>
          <w:szCs w:val="24"/>
        </w:rPr>
        <w:t xml:space="preserve">The Court Should </w:t>
      </w:r>
      <w:r w:rsidR="00891832">
        <w:rPr>
          <w:rFonts w:ascii="Times New Roman" w:hAnsi="Times New Roman" w:cs="Times New Roman"/>
          <w:b/>
          <w:sz w:val="24"/>
          <w:szCs w:val="24"/>
        </w:rPr>
        <w:t xml:space="preserve">Allow the Case to Proceed Without </w:t>
      </w:r>
      <w:r w:rsidR="00891832" w:rsidRPr="00875409">
        <w:rPr>
          <w:rFonts w:ascii="Times New Roman" w:hAnsi="Times New Roman" w:cs="Times New Roman"/>
          <w:b/>
          <w:sz w:val="24"/>
          <w:szCs w:val="24"/>
          <w:highlight w:val="yellow"/>
        </w:rPr>
        <w:t>CLIENT’s</w:t>
      </w:r>
      <w:r w:rsidR="00891832">
        <w:rPr>
          <w:rFonts w:ascii="Times New Roman" w:hAnsi="Times New Roman" w:cs="Times New Roman"/>
          <w:b/>
          <w:sz w:val="24"/>
          <w:szCs w:val="24"/>
        </w:rPr>
        <w:t xml:space="preserve"> Testimony and Allow </w:t>
      </w:r>
      <w:r w:rsidR="00891832" w:rsidRPr="00875409">
        <w:rPr>
          <w:rFonts w:ascii="Times New Roman" w:hAnsi="Times New Roman" w:cs="Times New Roman"/>
          <w:b/>
          <w:sz w:val="24"/>
          <w:szCs w:val="24"/>
          <w:highlight w:val="yellow"/>
        </w:rPr>
        <w:t>CLIENT’s [Social Worker/Friend/Family Member]</w:t>
      </w:r>
      <w:r w:rsidR="00891832">
        <w:rPr>
          <w:rFonts w:ascii="Times New Roman" w:hAnsi="Times New Roman" w:cs="Times New Roman"/>
          <w:b/>
          <w:sz w:val="24"/>
          <w:szCs w:val="24"/>
        </w:rPr>
        <w:t xml:space="preserve"> to Testify in </w:t>
      </w:r>
      <w:r w:rsidR="00891832" w:rsidRPr="00875409">
        <w:rPr>
          <w:rFonts w:ascii="Times New Roman" w:hAnsi="Times New Roman" w:cs="Times New Roman"/>
          <w:b/>
          <w:sz w:val="24"/>
          <w:szCs w:val="24"/>
          <w:highlight w:val="yellow"/>
        </w:rPr>
        <w:t>[His/Her]</w:t>
      </w:r>
      <w:r w:rsidR="00891832">
        <w:rPr>
          <w:rFonts w:ascii="Times New Roman" w:hAnsi="Times New Roman" w:cs="Times New Roman"/>
          <w:b/>
          <w:sz w:val="24"/>
          <w:szCs w:val="24"/>
        </w:rPr>
        <w:t xml:space="preserve"> Stead</w:t>
      </w:r>
    </w:p>
    <w:p w14:paraId="2FD45114" w14:textId="08EF3CF7" w:rsidR="00891832" w:rsidRPr="003F27E9" w:rsidRDefault="00891832" w:rsidP="00891832">
      <w:pPr>
        <w:spacing w:line="480" w:lineRule="auto"/>
        <w:ind w:firstLine="720"/>
        <w:rPr>
          <w:i/>
        </w:rPr>
      </w:pPr>
      <w:r>
        <w:t>Federal law guarantees to immigrant respondents a reasonable opportunity to examine the evidence against them, present evidence on their own behalf, and cross-examine witnesses presented by the government. INA § 240 (b</w:t>
      </w:r>
      <w:proofErr w:type="gramStart"/>
      <w:r>
        <w:t>)(</w:t>
      </w:r>
      <w:proofErr w:type="gramEnd"/>
      <w:r>
        <w:t xml:space="preserve">4). This reasonable opportunity may include, but does not require the respondent to testify on his or her own behalf. This is the case particularly when the respondent may have other people available to testify in his or her stead, or when relevant evidence </w:t>
      </w:r>
      <w:proofErr w:type="gramStart"/>
      <w:r>
        <w:t>can be procured</w:t>
      </w:r>
      <w:proofErr w:type="gramEnd"/>
      <w:r>
        <w:t xml:space="preserve"> in a way that is not contingent on the respondent’s oral </w:t>
      </w:r>
      <w:r>
        <w:lastRenderedPageBreak/>
        <w:t xml:space="preserve">testimony. </w:t>
      </w:r>
      <w:r>
        <w:rPr>
          <w:i/>
        </w:rPr>
        <w:t xml:space="preserve">See Matter of </w:t>
      </w:r>
      <w:proofErr w:type="spellStart"/>
      <w:r>
        <w:rPr>
          <w:i/>
        </w:rPr>
        <w:t>Carillo</w:t>
      </w:r>
      <w:proofErr w:type="spellEnd"/>
      <w:r>
        <w:t xml:space="preserve">, 17 I. &amp; N. Dec. 30 (BIA 1979) (respondents not required to testify); </w:t>
      </w:r>
      <w:r>
        <w:rPr>
          <w:i/>
        </w:rPr>
        <w:t>Matter of M-A-M</w:t>
      </w:r>
      <w:r>
        <w:t>, 25 I. &amp; N. Dec. 474, 483</w:t>
      </w:r>
      <w:r w:rsidR="00875409">
        <w:t xml:space="preserve"> (BIA 2011)</w:t>
      </w:r>
      <w:r>
        <w:t xml:space="preserve"> (</w:t>
      </w:r>
      <w:r w:rsidR="00E138B2">
        <w:t>suggesting</w:t>
      </w:r>
      <w:r>
        <w:t xml:space="preserve"> use of close friend or family member to testify and provide court with information</w:t>
      </w:r>
      <w:r w:rsidR="00E138B2">
        <w:t xml:space="preserve"> as a safeguard</w:t>
      </w:r>
      <w:r>
        <w:t>).</w:t>
      </w:r>
    </w:p>
    <w:p w14:paraId="7F3749B3" w14:textId="52290A37" w:rsidR="00891832" w:rsidRPr="00F11DBA" w:rsidRDefault="00891832" w:rsidP="00F11DBA">
      <w:pPr>
        <w:spacing w:line="480" w:lineRule="auto"/>
        <w:ind w:firstLine="720"/>
      </w:pPr>
      <w:r w:rsidRPr="00503DFD">
        <w:t xml:space="preserve">People with </w:t>
      </w:r>
      <w:r>
        <w:t>cognitive or intellectual disabilities</w:t>
      </w:r>
      <w:r w:rsidRPr="00503DFD">
        <w:t xml:space="preserve"> vary in their ability to communicate effectively in the courtroom environment.  If, upon counsel’s advice, </w:t>
      </w:r>
      <w:r w:rsidRPr="00A53738">
        <w:rPr>
          <w:highlight w:val="yellow"/>
        </w:rPr>
        <w:t>CLIENT</w:t>
      </w:r>
      <w:r w:rsidRPr="00503DFD">
        <w:t xml:space="preserve"> does not testify, the Court should not draw any adverse inference from this decision. In light of </w:t>
      </w:r>
      <w:r w:rsidRPr="00A53738">
        <w:rPr>
          <w:highlight w:val="yellow"/>
        </w:rPr>
        <w:t>CLIENT’s</w:t>
      </w:r>
      <w:r w:rsidRPr="00503DFD">
        <w:t xml:space="preserve"> </w:t>
      </w:r>
      <w:r w:rsidR="00AB2096">
        <w:t>cognitive limitations</w:t>
      </w:r>
      <w:r w:rsidRPr="00503DFD">
        <w:t xml:space="preserve">, </w:t>
      </w:r>
      <w:r w:rsidRPr="00A53738">
        <w:rPr>
          <w:highlight w:val="yellow"/>
        </w:rPr>
        <w:t>CLIENT’s</w:t>
      </w:r>
      <w:r w:rsidRPr="00503DFD">
        <w:t xml:space="preserve"> inability to testify reflects only the complexity of developing evidence in light of </w:t>
      </w:r>
      <w:r w:rsidRPr="00A53738">
        <w:rPr>
          <w:highlight w:val="yellow"/>
        </w:rPr>
        <w:t>CLIENT’s</w:t>
      </w:r>
      <w:r w:rsidRPr="00503DFD">
        <w:t xml:space="preserve"> </w:t>
      </w:r>
      <w:r w:rsidR="00D6317D">
        <w:t xml:space="preserve">cognitive </w:t>
      </w:r>
      <w:r w:rsidR="00205571">
        <w:t>impairments</w:t>
      </w:r>
      <w:r w:rsidRPr="00503DFD">
        <w:t xml:space="preserve">, rather than an invocation of the privilege against self-incrimination. </w:t>
      </w:r>
      <w:r>
        <w:t>S</w:t>
      </w:r>
      <w:r w:rsidRPr="00503DFD">
        <w:t xml:space="preserve">ilence alone is never enough to establish removability. </w:t>
      </w:r>
      <w:r w:rsidRPr="00503DFD">
        <w:rPr>
          <w:i/>
        </w:rPr>
        <w:t>See</w:t>
      </w:r>
      <w:r w:rsidRPr="00503DFD">
        <w:t xml:space="preserve"> </w:t>
      </w:r>
      <w:r w:rsidRPr="00503DFD">
        <w:rPr>
          <w:i/>
        </w:rPr>
        <w:t>Matter of Guevara</w:t>
      </w:r>
      <w:r w:rsidRPr="00503DFD">
        <w:t xml:space="preserve">, 20 I. &amp; N. Dec. 238, 243 (BIA 1990) (respondent’s silence not enough to establish deportability); </w:t>
      </w:r>
      <w:r w:rsidRPr="00503DFD">
        <w:rPr>
          <w:i/>
        </w:rPr>
        <w:t>Matter of J-</w:t>
      </w:r>
      <w:r w:rsidRPr="00503DFD">
        <w:t xml:space="preserve">, </w:t>
      </w:r>
      <w:proofErr w:type="gramStart"/>
      <w:r w:rsidRPr="00503DFD">
        <w:t>8</w:t>
      </w:r>
      <w:proofErr w:type="gramEnd"/>
      <w:r w:rsidRPr="00503DFD">
        <w:t xml:space="preserve"> I. &amp; N. Dec. 568, 572 (BIA 1960) (“Suspicion cannot be solidified into proof by the mere silence of respondent.”). </w:t>
      </w:r>
      <w:r w:rsidR="009C0DDF">
        <w:t>Instead, t</w:t>
      </w:r>
      <w:r w:rsidRPr="00503DFD">
        <w:rPr>
          <w:noProof/>
        </w:rPr>
        <w:t>he Court should a</w:t>
      </w:r>
      <w:r w:rsidR="009C0DDF">
        <w:rPr>
          <w:noProof/>
        </w:rPr>
        <w:t>llow</w:t>
      </w:r>
      <w:r w:rsidRPr="00503DFD">
        <w:rPr>
          <w:noProof/>
        </w:rPr>
        <w:t xml:space="preserve"> </w:t>
      </w:r>
      <w:r w:rsidRPr="00A53738">
        <w:rPr>
          <w:noProof/>
          <w:highlight w:val="yellow"/>
        </w:rPr>
        <w:t>CLIENT’s</w:t>
      </w:r>
      <w:r w:rsidRPr="00503DFD">
        <w:rPr>
          <w:noProof/>
        </w:rPr>
        <w:t xml:space="preserve"> social worker/relative/friend to testify on behalf of </w:t>
      </w:r>
      <w:r w:rsidRPr="00A53738">
        <w:rPr>
          <w:noProof/>
          <w:highlight w:val="yellow"/>
        </w:rPr>
        <w:t>CLIENT</w:t>
      </w:r>
      <w:r w:rsidRPr="00503DFD">
        <w:rPr>
          <w:noProof/>
        </w:rPr>
        <w:t xml:space="preserve"> instead. The BIA already recognizes that such an accommodation may be appropriate in </w:t>
      </w:r>
      <w:r w:rsidRPr="00503DFD">
        <w:rPr>
          <w:i/>
          <w:noProof/>
        </w:rPr>
        <w:t>Matter of M-A-M</w:t>
      </w:r>
      <w:r w:rsidRPr="00503DFD">
        <w:rPr>
          <w:noProof/>
        </w:rPr>
        <w:t>. 25 I. &amp; N. Dec. 474, 482 (BIA 2011).</w:t>
      </w:r>
    </w:p>
    <w:p w14:paraId="07134547" w14:textId="1C1D657D" w:rsidR="0014749D" w:rsidRPr="004246BE" w:rsidRDefault="00786669" w:rsidP="001A1BFE">
      <w:pPr>
        <w:pStyle w:val="ListParagraph"/>
        <w:numPr>
          <w:ilvl w:val="0"/>
          <w:numId w:val="14"/>
        </w:numPr>
        <w:spacing w:line="480" w:lineRule="auto"/>
        <w:rPr>
          <w:rFonts w:ascii="Times New Roman" w:hAnsi="Times New Roman" w:cs="Times New Roman"/>
          <w:b/>
          <w:sz w:val="24"/>
          <w:szCs w:val="24"/>
        </w:rPr>
      </w:pPr>
      <w:r>
        <w:rPr>
          <w:rFonts w:ascii="Times New Roman" w:hAnsi="Times New Roman" w:cs="Times New Roman"/>
          <w:b/>
          <w:i/>
          <w:sz w:val="24"/>
          <w:szCs w:val="24"/>
          <w:highlight w:val="yellow"/>
        </w:rPr>
        <w:t>[I</w:t>
      </w:r>
      <w:r w:rsidR="001A644F">
        <w:rPr>
          <w:rFonts w:ascii="Times New Roman" w:hAnsi="Times New Roman" w:cs="Times New Roman"/>
          <w:b/>
          <w:i/>
          <w:sz w:val="24"/>
          <w:szCs w:val="24"/>
          <w:highlight w:val="yellow"/>
        </w:rPr>
        <w:t xml:space="preserve">nclude “alternatively” only if your client is not testifying] </w:t>
      </w:r>
      <w:r w:rsidR="001A644F" w:rsidRPr="0080717C">
        <w:rPr>
          <w:rFonts w:ascii="Times New Roman" w:hAnsi="Times New Roman" w:cs="Times New Roman"/>
          <w:b/>
          <w:sz w:val="24"/>
          <w:szCs w:val="24"/>
          <w:highlight w:val="yellow"/>
        </w:rPr>
        <w:t>Alternatively,</w:t>
      </w:r>
      <w:r w:rsidR="009C0DDF">
        <w:rPr>
          <w:rFonts w:ascii="Times New Roman" w:hAnsi="Times New Roman" w:cs="Times New Roman"/>
          <w:b/>
          <w:sz w:val="24"/>
          <w:szCs w:val="24"/>
        </w:rPr>
        <w:t xml:space="preserve"> </w:t>
      </w:r>
      <w:r w:rsidR="00F11DBA">
        <w:rPr>
          <w:rFonts w:ascii="Times New Roman" w:hAnsi="Times New Roman" w:cs="Times New Roman"/>
          <w:b/>
          <w:sz w:val="24"/>
          <w:szCs w:val="24"/>
        </w:rPr>
        <w:t xml:space="preserve">The Court Should Impose the Following </w:t>
      </w:r>
      <w:r w:rsidR="0014749D" w:rsidRPr="00792C48">
        <w:rPr>
          <w:rFonts w:ascii="Times New Roman" w:hAnsi="Times New Roman" w:cs="Times New Roman"/>
          <w:b/>
          <w:sz w:val="24"/>
          <w:szCs w:val="24"/>
        </w:rPr>
        <w:t>Safeguards</w:t>
      </w:r>
      <w:r w:rsidR="00F11DBA">
        <w:rPr>
          <w:rFonts w:ascii="Times New Roman" w:hAnsi="Times New Roman" w:cs="Times New Roman"/>
          <w:b/>
          <w:sz w:val="24"/>
          <w:szCs w:val="24"/>
        </w:rPr>
        <w:t xml:space="preserve"> To Ensure that </w:t>
      </w:r>
      <w:r w:rsidR="00F11DBA" w:rsidRPr="00A53738">
        <w:rPr>
          <w:rFonts w:ascii="Times New Roman" w:hAnsi="Times New Roman" w:cs="Times New Roman"/>
          <w:b/>
          <w:sz w:val="24"/>
          <w:szCs w:val="24"/>
          <w:highlight w:val="yellow"/>
        </w:rPr>
        <w:t>CLIENT</w:t>
      </w:r>
      <w:r w:rsidR="00F11DBA">
        <w:rPr>
          <w:rFonts w:ascii="Times New Roman" w:hAnsi="Times New Roman" w:cs="Times New Roman"/>
          <w:b/>
          <w:sz w:val="24"/>
          <w:szCs w:val="24"/>
        </w:rPr>
        <w:t xml:space="preserve"> Has a Fair Proceeding</w:t>
      </w:r>
      <w:r w:rsidR="0014749D" w:rsidRPr="004246BE" w:rsidDel="0014749D">
        <w:rPr>
          <w:rFonts w:ascii="Times New Roman" w:hAnsi="Times New Roman" w:cs="Times New Roman"/>
          <w:b/>
          <w:sz w:val="24"/>
          <w:szCs w:val="24"/>
          <w:highlight w:val="yellow"/>
        </w:rPr>
        <w:t xml:space="preserve"> </w:t>
      </w:r>
    </w:p>
    <w:p w14:paraId="095561FA" w14:textId="77777777" w:rsidR="0014749D" w:rsidRPr="00792C48" w:rsidRDefault="0024673D" w:rsidP="00792C48">
      <w:pPr>
        <w:spacing w:line="480" w:lineRule="auto"/>
      </w:pPr>
      <w:r>
        <w:t xml:space="preserve">As explained </w:t>
      </w:r>
      <w:r>
        <w:rPr>
          <w:i/>
        </w:rPr>
        <w:t>supra</w:t>
      </w:r>
      <w:r>
        <w:t xml:space="preserve">, people with intellectual and cognitive disabilities such as </w:t>
      </w:r>
      <w:r w:rsidRPr="00A53738">
        <w:rPr>
          <w:highlight w:val="yellow"/>
        </w:rPr>
        <w:t>CLIENT</w:t>
      </w:r>
      <w:r>
        <w:t xml:space="preserve"> have difficulty processing information in a way th</w:t>
      </w:r>
      <w:r w:rsidR="00A50703">
        <w:t xml:space="preserve">at can infringe on their right to a fundamentally fair proceeding. </w:t>
      </w:r>
      <w:r w:rsidR="00F11DBA">
        <w:t>G</w:t>
      </w:r>
      <w:r w:rsidR="00A50703">
        <w:t xml:space="preserve">ranting permission to ask leading questions on direct examination, closely monitoring the tone and form of questioning during cross-examination, and making changes to </w:t>
      </w:r>
      <w:r w:rsidR="00A50703">
        <w:lastRenderedPageBreak/>
        <w:t xml:space="preserve">the courtroom environment can all play </w:t>
      </w:r>
      <w:r w:rsidR="0014749D">
        <w:t xml:space="preserve"> an integral role in protecting </w:t>
      </w:r>
      <w:r w:rsidR="0014749D" w:rsidRPr="00A53738">
        <w:rPr>
          <w:highlight w:val="yellow"/>
        </w:rPr>
        <w:t>CLIENT’s</w:t>
      </w:r>
      <w:r w:rsidR="0014749D">
        <w:t xml:space="preserve"> right to </w:t>
      </w:r>
      <w:r w:rsidR="000C67C2">
        <w:t xml:space="preserve">make </w:t>
      </w:r>
      <w:r w:rsidR="000C67C2" w:rsidRPr="00A53738">
        <w:rPr>
          <w:highlight w:val="yellow"/>
        </w:rPr>
        <w:t>[HIS/HER]</w:t>
      </w:r>
      <w:r w:rsidR="000C67C2">
        <w:t xml:space="preserve"> case </w:t>
      </w:r>
      <w:r w:rsidR="0014749D">
        <w:t xml:space="preserve"> in immigration court</w:t>
      </w:r>
      <w:r w:rsidR="004246BE">
        <w:t xml:space="preserve">. </w:t>
      </w:r>
    </w:p>
    <w:p w14:paraId="2B9C7B9A" w14:textId="5AECCD24" w:rsidR="00555BDA" w:rsidRPr="00F11DBA" w:rsidRDefault="002B007C" w:rsidP="001A1BFE">
      <w:pPr>
        <w:pStyle w:val="ListParagraph"/>
        <w:numPr>
          <w:ilvl w:val="0"/>
          <w:numId w:val="14"/>
        </w:numPr>
        <w:spacing w:line="480" w:lineRule="auto"/>
        <w:rPr>
          <w:rFonts w:ascii="Times New Roman" w:hAnsi="Times New Roman" w:cs="Times New Roman"/>
          <w:sz w:val="24"/>
          <w:szCs w:val="24"/>
        </w:rPr>
      </w:pPr>
      <w:r w:rsidRPr="00F11DBA">
        <w:rPr>
          <w:rFonts w:ascii="Times New Roman" w:hAnsi="Times New Roman" w:cs="Times New Roman"/>
          <w:b/>
          <w:sz w:val="24"/>
          <w:szCs w:val="24"/>
        </w:rPr>
        <w:t>Appropr</w:t>
      </w:r>
      <w:r w:rsidR="00786669">
        <w:rPr>
          <w:rFonts w:ascii="Times New Roman" w:hAnsi="Times New Roman" w:cs="Times New Roman"/>
          <w:b/>
          <w:sz w:val="24"/>
          <w:szCs w:val="24"/>
        </w:rPr>
        <w:t>iate Safeguards Should Include</w:t>
      </w:r>
      <w:r w:rsidR="00605752" w:rsidRPr="00F11DBA">
        <w:rPr>
          <w:rFonts w:ascii="Times New Roman" w:hAnsi="Times New Roman" w:cs="Times New Roman"/>
          <w:b/>
          <w:sz w:val="24"/>
          <w:szCs w:val="24"/>
        </w:rPr>
        <w:t xml:space="preserve"> Granting Permission to Ask Leading Questions During Direct Examination</w:t>
      </w:r>
    </w:p>
    <w:p w14:paraId="2D3E9D3C" w14:textId="77777777" w:rsidR="00E07FBB" w:rsidRPr="00E30B5C" w:rsidRDefault="009D50A5" w:rsidP="00313D0F">
      <w:pPr>
        <w:pStyle w:val="FootnoteText"/>
        <w:spacing w:line="480" w:lineRule="auto"/>
        <w:ind w:left="360"/>
        <w:rPr>
          <w:rFonts w:ascii="Times New Roman" w:hAnsi="Times New Roman" w:cs="Times New Roman"/>
          <w:sz w:val="24"/>
          <w:szCs w:val="24"/>
        </w:rPr>
      </w:pPr>
      <w:r w:rsidRPr="00E30B5C">
        <w:rPr>
          <w:rFonts w:ascii="Times New Roman" w:hAnsi="Times New Roman" w:cs="Times New Roman"/>
          <w:sz w:val="24"/>
          <w:szCs w:val="24"/>
        </w:rPr>
        <w:t xml:space="preserve">To allow </w:t>
      </w:r>
      <w:r w:rsidR="00207C07" w:rsidRPr="00A53738">
        <w:rPr>
          <w:rFonts w:ascii="Times New Roman" w:hAnsi="Times New Roman" w:cs="Times New Roman"/>
          <w:caps/>
          <w:sz w:val="24"/>
          <w:szCs w:val="24"/>
          <w:highlight w:val="yellow"/>
        </w:rPr>
        <w:t>CLIENT</w:t>
      </w:r>
      <w:r w:rsidR="00E07FBB" w:rsidRPr="00E30B5C">
        <w:rPr>
          <w:rFonts w:ascii="Times New Roman" w:hAnsi="Times New Roman" w:cs="Times New Roman"/>
          <w:sz w:val="24"/>
          <w:szCs w:val="24"/>
        </w:rPr>
        <w:t xml:space="preserve"> the opportunity to provide </w:t>
      </w:r>
      <w:r w:rsidR="00E07FBB" w:rsidRPr="00E30B5C">
        <w:rPr>
          <w:rFonts w:ascii="Times New Roman" w:hAnsi="Times New Roman" w:cs="Times New Roman"/>
          <w:noProof/>
          <w:sz w:val="24"/>
          <w:szCs w:val="24"/>
        </w:rPr>
        <w:t>testimony</w:t>
      </w:r>
      <w:r w:rsidRPr="00E30B5C">
        <w:rPr>
          <w:rFonts w:ascii="Times New Roman" w:hAnsi="Times New Roman" w:cs="Times New Roman"/>
          <w:sz w:val="24"/>
          <w:szCs w:val="24"/>
        </w:rPr>
        <w:t xml:space="preserve"> despite </w:t>
      </w:r>
      <w:r w:rsidRPr="00847D32">
        <w:rPr>
          <w:rFonts w:ascii="Times New Roman" w:hAnsi="Times New Roman" w:cs="Times New Roman"/>
          <w:sz w:val="24"/>
          <w:szCs w:val="24"/>
          <w:highlight w:val="yellow"/>
        </w:rPr>
        <w:t>[his/her]</w:t>
      </w:r>
    </w:p>
    <w:p w14:paraId="5622DBEA" w14:textId="061EB036" w:rsidR="00BB4740" w:rsidRDefault="00435488" w:rsidP="00313D0F">
      <w:pPr>
        <w:spacing w:line="480" w:lineRule="auto"/>
        <w:rPr>
          <w:rFonts w:eastAsia="Times New Roman"/>
        </w:rPr>
      </w:pPr>
      <w:r>
        <w:rPr>
          <w:noProof/>
        </w:rPr>
        <w:t>d</w:t>
      </w:r>
      <w:r w:rsidR="00E07FBB" w:rsidRPr="00E30B5C">
        <w:rPr>
          <w:noProof/>
        </w:rPr>
        <w:t>isability</w:t>
      </w:r>
      <w:r>
        <w:t xml:space="preserve">, </w:t>
      </w:r>
      <w:r w:rsidR="00E07FBB" w:rsidRPr="00E30B5C">
        <w:t xml:space="preserve">the </w:t>
      </w:r>
      <w:r>
        <w:t>C</w:t>
      </w:r>
      <w:r w:rsidR="00E07FBB" w:rsidRPr="00E30B5C">
        <w:t xml:space="preserve">ourt should permit </w:t>
      </w:r>
      <w:r w:rsidR="00207C07" w:rsidRPr="00A53738">
        <w:rPr>
          <w:caps/>
          <w:highlight w:val="yellow"/>
        </w:rPr>
        <w:t>CLIENT</w:t>
      </w:r>
      <w:r w:rsidR="00E07FBB" w:rsidRPr="00A53738">
        <w:rPr>
          <w:highlight w:val="yellow"/>
        </w:rPr>
        <w:t>’S</w:t>
      </w:r>
      <w:r w:rsidR="00E07FBB" w:rsidRPr="00E30B5C">
        <w:t xml:space="preserve"> counsel to ask leading questions during di</w:t>
      </w:r>
      <w:r w:rsidR="00C71509" w:rsidRPr="00E30B5C">
        <w:t>rect examination</w:t>
      </w:r>
      <w:r w:rsidR="00E07FBB" w:rsidRPr="00E30B5C">
        <w:t xml:space="preserve">. </w:t>
      </w:r>
      <w:r w:rsidR="005E3019" w:rsidRPr="00E30B5C">
        <w:t xml:space="preserve">Courts have </w:t>
      </w:r>
      <w:r w:rsidR="002C2047" w:rsidRPr="00E30B5C">
        <w:t>long recognized</w:t>
      </w:r>
      <w:r w:rsidR="005E3019" w:rsidRPr="00E30B5C">
        <w:t xml:space="preserve"> an </w:t>
      </w:r>
      <w:r w:rsidR="002C2047" w:rsidRPr="00E30B5C">
        <w:t>exception to the bar on use</w:t>
      </w:r>
      <w:r w:rsidR="005E3019" w:rsidRPr="00E30B5C">
        <w:t xml:space="preserve"> </w:t>
      </w:r>
      <w:r w:rsidR="002C2047" w:rsidRPr="00E30B5C">
        <w:t xml:space="preserve">of </w:t>
      </w:r>
      <w:r w:rsidR="005E3019" w:rsidRPr="00E30B5C">
        <w:t xml:space="preserve">leading questions during </w:t>
      </w:r>
      <w:r w:rsidR="002C2047" w:rsidRPr="00E30B5C">
        <w:t xml:space="preserve">direct-examination </w:t>
      </w:r>
      <w:r w:rsidR="005E3019" w:rsidRPr="00E30B5C">
        <w:t xml:space="preserve">when </w:t>
      </w:r>
      <w:r w:rsidR="002C2047" w:rsidRPr="00E30B5C">
        <w:t xml:space="preserve">such questions are </w:t>
      </w:r>
      <w:r w:rsidR="005E3019" w:rsidRPr="00E30B5C">
        <w:t>“necessary to dev</w:t>
      </w:r>
      <w:r w:rsidR="00131AAE" w:rsidRPr="00E30B5C">
        <w:t>elop the witness’s testimony,</w:t>
      </w:r>
      <w:r w:rsidR="005E3019" w:rsidRPr="00E30B5C">
        <w:t>”</w:t>
      </w:r>
      <w:r w:rsidR="005E3019" w:rsidRPr="00E30B5C">
        <w:rPr>
          <w:b/>
        </w:rPr>
        <w:t xml:space="preserve"> </w:t>
      </w:r>
      <w:r w:rsidR="00252EA1">
        <w:t xml:space="preserve">Fed. R. </w:t>
      </w:r>
      <w:proofErr w:type="spellStart"/>
      <w:r w:rsidR="00252EA1">
        <w:t>Evid</w:t>
      </w:r>
      <w:proofErr w:type="spellEnd"/>
      <w:r w:rsidR="00252EA1">
        <w:t xml:space="preserve">. </w:t>
      </w:r>
      <w:r w:rsidR="00131AAE" w:rsidRPr="00E30B5C">
        <w:t>611(c)</w:t>
      </w:r>
      <w:r w:rsidR="00131AAE" w:rsidRPr="00E30B5C">
        <w:rPr>
          <w:rFonts w:eastAsia="Times New Roman"/>
        </w:rPr>
        <w:t>.</w:t>
      </w:r>
      <w:r w:rsidR="00AB2CC2">
        <w:rPr>
          <w:rFonts w:eastAsia="Times New Roman"/>
        </w:rPr>
        <w:t xml:space="preserve"> People with cognitive disabilities frequently struggle to remember things like dates, places and times. </w:t>
      </w:r>
      <w:r w:rsidR="00131AAE" w:rsidRPr="00E30B5C">
        <w:rPr>
          <w:rFonts w:eastAsia="Times New Roman"/>
        </w:rPr>
        <w:t xml:space="preserve"> </w:t>
      </w:r>
      <w:r w:rsidR="00F84644">
        <w:rPr>
          <w:rFonts w:eastAsia="Times New Roman"/>
          <w:i/>
        </w:rPr>
        <w:t xml:space="preserve">See </w:t>
      </w:r>
      <w:r w:rsidR="00BB4740">
        <w:rPr>
          <w:rFonts w:eastAsia="Times New Roman"/>
        </w:rPr>
        <w:t>T</w:t>
      </w:r>
      <w:r w:rsidR="00A37656">
        <w:rPr>
          <w:rFonts w:eastAsia="Times New Roman"/>
        </w:rPr>
        <w:t>h</w:t>
      </w:r>
      <w:r w:rsidR="002F2B79">
        <w:rPr>
          <w:rFonts w:eastAsia="Times New Roman"/>
        </w:rPr>
        <w:t xml:space="preserve">omas </w:t>
      </w:r>
      <w:proofErr w:type="spellStart"/>
      <w:r w:rsidR="002F2B79">
        <w:rPr>
          <w:rFonts w:eastAsia="Times New Roman"/>
        </w:rPr>
        <w:t>Leyhe</w:t>
      </w:r>
      <w:proofErr w:type="spellEnd"/>
      <w:r w:rsidR="002F2B79">
        <w:rPr>
          <w:rFonts w:eastAsia="Times New Roman"/>
        </w:rPr>
        <w:t xml:space="preserve"> et al., </w:t>
      </w:r>
      <w:r w:rsidR="002F2B79">
        <w:rPr>
          <w:rFonts w:eastAsia="Times New Roman"/>
          <w:i/>
        </w:rPr>
        <w:t>Impairment of Episodic and Semantic Au</w:t>
      </w:r>
      <w:r w:rsidR="0055273E">
        <w:rPr>
          <w:rFonts w:eastAsia="Times New Roman"/>
          <w:i/>
        </w:rPr>
        <w:t>tobiographical Memory in Pa</w:t>
      </w:r>
      <w:r w:rsidR="002F2B79">
        <w:rPr>
          <w:rFonts w:eastAsia="Times New Roman"/>
          <w:i/>
        </w:rPr>
        <w:t>t</w:t>
      </w:r>
      <w:r w:rsidR="0055273E">
        <w:rPr>
          <w:rFonts w:eastAsia="Times New Roman"/>
          <w:i/>
        </w:rPr>
        <w:t>i</w:t>
      </w:r>
      <w:r w:rsidR="002F2B79">
        <w:rPr>
          <w:rFonts w:eastAsia="Times New Roman"/>
          <w:i/>
        </w:rPr>
        <w:t>ents With Mild C</w:t>
      </w:r>
      <w:r w:rsidR="0055273E">
        <w:rPr>
          <w:rFonts w:eastAsia="Times New Roman"/>
          <w:i/>
        </w:rPr>
        <w:t>ognitive Impairment and Early Al</w:t>
      </w:r>
      <w:r w:rsidR="002F2B79">
        <w:rPr>
          <w:rFonts w:eastAsia="Times New Roman"/>
          <w:i/>
        </w:rPr>
        <w:t>zheimer’s Disease</w:t>
      </w:r>
      <w:r w:rsidR="002F2B79">
        <w:rPr>
          <w:rFonts w:eastAsia="Times New Roman"/>
        </w:rPr>
        <w:t xml:space="preserve">, 47 </w:t>
      </w:r>
      <w:proofErr w:type="spellStart"/>
      <w:r w:rsidR="002F2B79">
        <w:rPr>
          <w:rFonts w:eastAsia="Times New Roman"/>
        </w:rPr>
        <w:t>Neuropyschologia</w:t>
      </w:r>
      <w:proofErr w:type="spellEnd"/>
      <w:r w:rsidR="002F2B79">
        <w:rPr>
          <w:rFonts w:eastAsia="Times New Roman"/>
        </w:rPr>
        <w:t xml:space="preserve"> 2464 (2009)</w:t>
      </w:r>
      <w:r w:rsidR="00CC7214">
        <w:rPr>
          <w:rFonts w:eastAsia="Times New Roman"/>
        </w:rPr>
        <w:t xml:space="preserve"> (describing and comparing</w:t>
      </w:r>
      <w:r w:rsidR="004F7E8A">
        <w:rPr>
          <w:rFonts w:eastAsia="Times New Roman"/>
        </w:rPr>
        <w:t xml:space="preserve"> the memory problems of people with mild cognitive impairment to those with Alzheimer’s disease). </w:t>
      </w:r>
      <w:r w:rsidR="002F2B79">
        <w:rPr>
          <w:rFonts w:eastAsia="Times New Roman"/>
        </w:rPr>
        <w:t xml:space="preserve"> </w:t>
      </w:r>
    </w:p>
    <w:p w14:paraId="5C5834BE" w14:textId="73BA7499" w:rsidR="00BB4740" w:rsidRPr="00B05231" w:rsidRDefault="00BB4740" w:rsidP="00B05231">
      <w:pPr>
        <w:spacing w:line="480" w:lineRule="auto"/>
        <w:ind w:firstLine="720"/>
        <w:rPr>
          <w:color w:val="000000" w:themeColor="text1"/>
        </w:rPr>
      </w:pPr>
      <w:r w:rsidRPr="00612A15">
        <w:rPr>
          <w:color w:val="000000" w:themeColor="text1"/>
        </w:rPr>
        <w:t>Direct examination</w:t>
      </w:r>
      <w:r>
        <w:rPr>
          <w:color w:val="000000" w:themeColor="text1"/>
        </w:rPr>
        <w:t xml:space="preserve"> allows re</w:t>
      </w:r>
      <w:r w:rsidRPr="00612A15">
        <w:rPr>
          <w:color w:val="000000" w:themeColor="text1"/>
        </w:rPr>
        <w:t>spondent’s counsel to pres</w:t>
      </w:r>
      <w:r>
        <w:rPr>
          <w:color w:val="000000" w:themeColor="text1"/>
        </w:rPr>
        <w:t xml:space="preserve">ent the legal elements of a </w:t>
      </w:r>
      <w:r w:rsidRPr="00612A15">
        <w:rPr>
          <w:color w:val="000000" w:themeColor="text1"/>
        </w:rPr>
        <w:t>claim in a</w:t>
      </w:r>
      <w:r>
        <w:rPr>
          <w:color w:val="000000" w:themeColor="text1"/>
        </w:rPr>
        <w:t xml:space="preserve">n orderly fashion, and to build a </w:t>
      </w:r>
      <w:r w:rsidRPr="00612A15">
        <w:rPr>
          <w:color w:val="000000" w:themeColor="text1"/>
        </w:rPr>
        <w:t xml:space="preserve">case narrative through testimony for the court. </w:t>
      </w:r>
      <w:r w:rsidR="000730B0">
        <w:rPr>
          <w:color w:val="000000" w:themeColor="text1"/>
        </w:rPr>
        <w:t>Alt</w:t>
      </w:r>
      <w:r>
        <w:rPr>
          <w:color w:val="000000" w:themeColor="text1"/>
        </w:rPr>
        <w:t xml:space="preserve">hough </w:t>
      </w:r>
      <w:r w:rsidR="00847D32">
        <w:rPr>
          <w:color w:val="000000" w:themeColor="text1"/>
        </w:rPr>
        <w:t>a familiar figu</w:t>
      </w:r>
      <w:r w:rsidR="00024F33">
        <w:rPr>
          <w:color w:val="000000" w:themeColor="text1"/>
        </w:rPr>
        <w:t>re does the direct examination,</w:t>
      </w:r>
      <w:r w:rsidRPr="00847D32">
        <w:rPr>
          <w:color w:val="000000" w:themeColor="text1"/>
        </w:rPr>
        <w:t xml:space="preserve"> the formalized style of questioning, conducted</w:t>
      </w:r>
      <w:r>
        <w:rPr>
          <w:color w:val="000000" w:themeColor="text1"/>
        </w:rPr>
        <w:t xml:space="preserve"> in an unfamiliar and high-pressure setting, may be jarring even for witnesses without the cognitive limitations of </w:t>
      </w:r>
      <w:r w:rsidRPr="003F284C">
        <w:rPr>
          <w:color w:val="000000" w:themeColor="text1"/>
          <w:highlight w:val="yellow"/>
        </w:rPr>
        <w:t>CLIENT</w:t>
      </w:r>
      <w:r w:rsidRPr="00612A15">
        <w:rPr>
          <w:color w:val="000000" w:themeColor="text1"/>
        </w:rPr>
        <w:t>. Most attorneys address this by spending extensive time preparing their client for direct-examination. However, for an individual with</w:t>
      </w:r>
      <w:r w:rsidR="009B474D">
        <w:rPr>
          <w:color w:val="000000" w:themeColor="text1"/>
        </w:rPr>
        <w:t xml:space="preserve"> cognitive </w:t>
      </w:r>
      <w:r w:rsidR="00205571">
        <w:rPr>
          <w:color w:val="000000" w:themeColor="text1"/>
        </w:rPr>
        <w:t>impairments</w:t>
      </w:r>
      <w:r w:rsidR="009B474D">
        <w:rPr>
          <w:color w:val="000000" w:themeColor="text1"/>
        </w:rPr>
        <w:t xml:space="preserve">, </w:t>
      </w:r>
      <w:r>
        <w:rPr>
          <w:color w:val="000000" w:themeColor="text1"/>
        </w:rPr>
        <w:t>even substantial preparation may not fully prepare t</w:t>
      </w:r>
      <w:r w:rsidR="002A19DB">
        <w:rPr>
          <w:color w:val="000000" w:themeColor="text1"/>
        </w:rPr>
        <w:t>he person</w:t>
      </w:r>
      <w:r>
        <w:rPr>
          <w:color w:val="000000" w:themeColor="text1"/>
        </w:rPr>
        <w:t xml:space="preserve"> for questioning. Allowing respondent’s counsel to ask foundational/leading quest</w:t>
      </w:r>
      <w:r w:rsidR="002A19DB">
        <w:rPr>
          <w:color w:val="000000" w:themeColor="text1"/>
        </w:rPr>
        <w:t xml:space="preserve">ions </w:t>
      </w:r>
      <w:r w:rsidR="00DD5CA4">
        <w:rPr>
          <w:color w:val="000000" w:themeColor="text1"/>
        </w:rPr>
        <w:t>regarding</w:t>
      </w:r>
      <w:r>
        <w:rPr>
          <w:color w:val="000000" w:themeColor="text1"/>
        </w:rPr>
        <w:t xml:space="preserve"> </w:t>
      </w:r>
      <w:r w:rsidR="002A19DB">
        <w:rPr>
          <w:color w:val="000000" w:themeColor="text1"/>
        </w:rPr>
        <w:t xml:space="preserve">certain uncontested </w:t>
      </w:r>
      <w:r>
        <w:rPr>
          <w:color w:val="000000" w:themeColor="text1"/>
        </w:rPr>
        <w:t>fact</w:t>
      </w:r>
      <w:r w:rsidR="002A19DB">
        <w:rPr>
          <w:color w:val="000000" w:themeColor="text1"/>
        </w:rPr>
        <w:t>s</w:t>
      </w:r>
      <w:r>
        <w:rPr>
          <w:color w:val="000000" w:themeColor="text1"/>
        </w:rPr>
        <w:t xml:space="preserve"> (e.g., “</w:t>
      </w:r>
      <w:r w:rsidR="00DD5CA4">
        <w:rPr>
          <w:color w:val="000000" w:themeColor="text1"/>
        </w:rPr>
        <w:t>Did y</w:t>
      </w:r>
      <w:r>
        <w:rPr>
          <w:color w:val="000000" w:themeColor="text1"/>
        </w:rPr>
        <w:t>o</w:t>
      </w:r>
      <w:r w:rsidR="00DD5CA4">
        <w:rPr>
          <w:color w:val="000000" w:themeColor="text1"/>
        </w:rPr>
        <w:t>u arrive</w:t>
      </w:r>
      <w:r>
        <w:rPr>
          <w:color w:val="000000" w:themeColor="text1"/>
        </w:rPr>
        <w:t xml:space="preserve"> in the United</w:t>
      </w:r>
      <w:r w:rsidR="00DD5CA4">
        <w:rPr>
          <w:color w:val="000000" w:themeColor="text1"/>
        </w:rPr>
        <w:t xml:space="preserve"> States on April 3?” or “Is it true that you </w:t>
      </w:r>
      <w:r>
        <w:rPr>
          <w:color w:val="000000" w:themeColor="text1"/>
        </w:rPr>
        <w:t xml:space="preserve">worked at the post office for fifteen years?”) could help alleviate this problem. </w:t>
      </w:r>
    </w:p>
    <w:p w14:paraId="3EEC3A03" w14:textId="4E35DCA6" w:rsidR="00BD04B1" w:rsidRDefault="007A3416" w:rsidP="00BB4740">
      <w:pPr>
        <w:spacing w:line="480" w:lineRule="auto"/>
        <w:ind w:firstLine="720"/>
        <w:rPr>
          <w:rFonts w:eastAsia="Times New Roman"/>
        </w:rPr>
      </w:pPr>
      <w:r>
        <w:lastRenderedPageBreak/>
        <w:t>Permitting leading questions on direct</w:t>
      </w:r>
      <w:r w:rsidR="002C2047" w:rsidRPr="00313D0F">
        <w:t xml:space="preserve"> </w:t>
      </w:r>
      <w:r w:rsidR="005E3019" w:rsidRPr="00313D0F">
        <w:t>expedite</w:t>
      </w:r>
      <w:r w:rsidR="002C2047" w:rsidRPr="00313D0F">
        <w:t>s</w:t>
      </w:r>
      <w:r w:rsidR="005E3019" w:rsidRPr="00313D0F">
        <w:t xml:space="preserve"> the proceedings and</w:t>
      </w:r>
      <w:r w:rsidR="002C2047" w:rsidRPr="00313D0F">
        <w:t xml:space="preserve"> leads </w:t>
      </w:r>
      <w:proofErr w:type="gramStart"/>
      <w:r w:rsidR="002C2047" w:rsidRPr="00313D0F">
        <w:t>to more efficient development of the record</w:t>
      </w:r>
      <w:proofErr w:type="gramEnd"/>
      <w:r w:rsidR="002C2047" w:rsidRPr="00313D0F">
        <w:t>. Courts frequent</w:t>
      </w:r>
      <w:r w:rsidR="00B05231">
        <w:t xml:space="preserve">ly employ this </w:t>
      </w:r>
      <w:r w:rsidR="002C2047" w:rsidRPr="00313D0F">
        <w:t xml:space="preserve">exception for </w:t>
      </w:r>
      <w:r w:rsidR="005E3019" w:rsidRPr="00313D0F">
        <w:t xml:space="preserve">adults with communication difficulties, children, </w:t>
      </w:r>
      <w:r w:rsidR="00E07FBB" w:rsidRPr="00313D0F">
        <w:rPr>
          <w:rFonts w:eastAsia="Times New Roman"/>
        </w:rPr>
        <w:t>witnesses wit</w:t>
      </w:r>
      <w:r w:rsidR="001A0BB3" w:rsidRPr="00313D0F">
        <w:rPr>
          <w:rFonts w:eastAsia="Times New Roman"/>
        </w:rPr>
        <w:t xml:space="preserve">h disabilities, </w:t>
      </w:r>
      <w:r w:rsidR="00E07FBB" w:rsidRPr="00313D0F">
        <w:rPr>
          <w:rFonts w:eastAsia="Times New Roman"/>
        </w:rPr>
        <w:t>non-English speakers</w:t>
      </w:r>
      <w:r w:rsidR="005E3019" w:rsidRPr="00313D0F">
        <w:rPr>
          <w:rFonts w:eastAsia="Times New Roman"/>
        </w:rPr>
        <w:t xml:space="preserve">, and witnesses who are “nervous” or “confused.” </w:t>
      </w:r>
      <w:proofErr w:type="gramStart"/>
      <w:r w:rsidR="005E3019" w:rsidRPr="00313D0F">
        <w:rPr>
          <w:i/>
        </w:rPr>
        <w:t xml:space="preserve">See </w:t>
      </w:r>
      <w:r w:rsidR="008B3E9B">
        <w:rPr>
          <w:i/>
        </w:rPr>
        <w:t>United States</w:t>
      </w:r>
      <w:r w:rsidR="00A17B09">
        <w:rPr>
          <w:i/>
        </w:rPr>
        <w:t xml:space="preserve"> v. </w:t>
      </w:r>
      <w:proofErr w:type="spellStart"/>
      <w:r w:rsidR="00A17B09">
        <w:rPr>
          <w:i/>
        </w:rPr>
        <w:t>Salameh</w:t>
      </w:r>
      <w:proofErr w:type="spellEnd"/>
      <w:r w:rsidR="00A17B09">
        <w:t xml:space="preserve">, 152 F.3d 88, </w:t>
      </w:r>
      <w:r w:rsidR="007A4B12">
        <w:t xml:space="preserve">128 (2d Cir. 1998) </w:t>
      </w:r>
      <w:r w:rsidR="007577EF">
        <w:t xml:space="preserve">(permitting use of leading questions for nervous witness during direct examination); </w:t>
      </w:r>
      <w:r w:rsidR="008B3E9B">
        <w:rPr>
          <w:rFonts w:eastAsia="Times New Roman"/>
          <w:i/>
        </w:rPr>
        <w:t>United States</w:t>
      </w:r>
      <w:r w:rsidR="002B007C" w:rsidRPr="00313D0F">
        <w:rPr>
          <w:rFonts w:eastAsia="Times New Roman"/>
          <w:i/>
        </w:rPr>
        <w:t xml:space="preserve"> v. Vazquez-</w:t>
      </w:r>
      <w:proofErr w:type="spellStart"/>
      <w:r w:rsidR="002B007C" w:rsidRPr="00313D0F">
        <w:rPr>
          <w:rFonts w:eastAsia="Times New Roman"/>
          <w:i/>
        </w:rPr>
        <w:t>Larrauri</w:t>
      </w:r>
      <w:proofErr w:type="spellEnd"/>
      <w:r w:rsidR="002B007C" w:rsidRPr="00313D0F">
        <w:rPr>
          <w:rFonts w:eastAsia="Times New Roman"/>
        </w:rPr>
        <w:t>, 778 F.3d 276, 290 (1st Cir. 2015) (allowing use of leading questions to develop foundational testimony)</w:t>
      </w:r>
      <w:r w:rsidR="002B007C">
        <w:rPr>
          <w:rFonts w:eastAsia="Times New Roman"/>
        </w:rPr>
        <w:t xml:space="preserve">; </w:t>
      </w:r>
      <w:r w:rsidR="00EB4140">
        <w:rPr>
          <w:rFonts w:eastAsia="Times New Roman"/>
          <w:i/>
        </w:rPr>
        <w:t>United States</w:t>
      </w:r>
      <w:r w:rsidR="002B007C" w:rsidRPr="00313D0F">
        <w:rPr>
          <w:rFonts w:eastAsia="Times New Roman"/>
          <w:i/>
        </w:rPr>
        <w:t xml:space="preserve"> v. Cisneros-Gutierrez</w:t>
      </w:r>
      <w:r w:rsidR="002B007C" w:rsidRPr="00313D0F">
        <w:rPr>
          <w:rFonts w:eastAsia="Times New Roman"/>
        </w:rPr>
        <w:t>, 517 F.3d 751 (5th Cir. 2008) (permitting leading questions on direct for witness with extensive “memory problems”)</w:t>
      </w:r>
      <w:r w:rsidR="002B007C">
        <w:rPr>
          <w:rFonts w:eastAsia="Times New Roman"/>
        </w:rPr>
        <w:t xml:space="preserve">; </w:t>
      </w:r>
      <w:r w:rsidR="002B007C" w:rsidRPr="00313D0F">
        <w:rPr>
          <w:rFonts w:eastAsia="Times New Roman"/>
          <w:i/>
        </w:rPr>
        <w:t>Jordan v. Hurley</w:t>
      </w:r>
      <w:r w:rsidR="002B007C" w:rsidRPr="00313D0F">
        <w:rPr>
          <w:rFonts w:eastAsia="Times New Roman"/>
        </w:rPr>
        <w:t xml:space="preserve">, 397 F.3d 360, 363 (6th Cir. 2005) (leading questions on direct examination permissible for person with cognitive limitations); </w:t>
      </w:r>
      <w:r w:rsidR="00652EA2">
        <w:rPr>
          <w:rFonts w:eastAsia="Times New Roman"/>
          <w:i/>
        </w:rPr>
        <w:t xml:space="preserve">People v. </w:t>
      </w:r>
      <w:proofErr w:type="spellStart"/>
      <w:r w:rsidR="00652EA2">
        <w:rPr>
          <w:rFonts w:eastAsia="Times New Roman"/>
          <w:i/>
        </w:rPr>
        <w:t>Cuttler</w:t>
      </w:r>
      <w:proofErr w:type="spellEnd"/>
      <w:r w:rsidR="00652EA2">
        <w:rPr>
          <w:rFonts w:eastAsia="Times New Roman"/>
        </w:rPr>
        <w:t xml:space="preserve">, 270 A.D.2d 654, </w:t>
      </w:r>
      <w:r w:rsidR="000632E6">
        <w:rPr>
          <w:rFonts w:eastAsia="Times New Roman"/>
        </w:rPr>
        <w:t xml:space="preserve">655 (N.Y. App. 3d 2000) (trial court judge did not abuse discretion when he permitted </w:t>
      </w:r>
      <w:r w:rsidR="000D2473">
        <w:rPr>
          <w:rFonts w:eastAsia="Times New Roman"/>
        </w:rPr>
        <w:t xml:space="preserve">use of leading questions on direct </w:t>
      </w:r>
      <w:r w:rsidR="000632E6">
        <w:rPr>
          <w:rFonts w:eastAsia="Times New Roman"/>
        </w:rPr>
        <w:t xml:space="preserve">examination </w:t>
      </w:r>
      <w:r w:rsidR="000D2473">
        <w:rPr>
          <w:rFonts w:eastAsia="Times New Roman"/>
        </w:rPr>
        <w:t>for child witness)</w:t>
      </w:r>
      <w:r w:rsidR="005E3019" w:rsidRPr="00313D0F">
        <w:rPr>
          <w:rFonts w:eastAsia="Times New Roman"/>
        </w:rPr>
        <w:t>.</w:t>
      </w:r>
      <w:proofErr w:type="gramEnd"/>
      <w:r w:rsidR="005E3019" w:rsidRPr="00313D0F">
        <w:rPr>
          <w:rFonts w:eastAsia="Times New Roman"/>
        </w:rPr>
        <w:t xml:space="preserve"> </w:t>
      </w:r>
    </w:p>
    <w:p w14:paraId="077A4887" w14:textId="613D51E4" w:rsidR="00BD04B1" w:rsidRDefault="001A0BB3" w:rsidP="00BD04B1">
      <w:pPr>
        <w:spacing w:line="480" w:lineRule="auto"/>
        <w:ind w:firstLine="720"/>
        <w:rPr>
          <w:color w:val="000000" w:themeColor="text1"/>
        </w:rPr>
      </w:pPr>
      <w:r w:rsidRPr="00313D0F">
        <w:rPr>
          <w:rFonts w:eastAsia="Times New Roman"/>
        </w:rPr>
        <w:t>U</w:t>
      </w:r>
      <w:r w:rsidR="00C42A82" w:rsidRPr="00313D0F">
        <w:rPr>
          <w:rFonts w:eastAsia="Times New Roman"/>
        </w:rPr>
        <w:t xml:space="preserve">se of leading questions </w:t>
      </w:r>
      <w:r w:rsidR="00E07FBB" w:rsidRPr="00313D0F">
        <w:rPr>
          <w:rFonts w:eastAsia="Times New Roman"/>
        </w:rPr>
        <w:t xml:space="preserve">in </w:t>
      </w:r>
      <w:r w:rsidR="00E07FBB" w:rsidRPr="00A2255E">
        <w:rPr>
          <w:rFonts w:eastAsia="Times New Roman"/>
          <w:highlight w:val="yellow"/>
        </w:rPr>
        <w:t>CLIENT’s</w:t>
      </w:r>
      <w:r w:rsidR="00E07FBB" w:rsidRPr="00313D0F">
        <w:rPr>
          <w:rFonts w:eastAsia="Times New Roman"/>
        </w:rPr>
        <w:t xml:space="preserve"> case merely reaffir</w:t>
      </w:r>
      <w:r w:rsidR="004A12A7" w:rsidRPr="00313D0F">
        <w:rPr>
          <w:rFonts w:eastAsia="Times New Roman"/>
        </w:rPr>
        <w:t xml:space="preserve">ms this longstanding principle and helps to ensure the fundamental fairness of </w:t>
      </w:r>
      <w:r w:rsidR="004A12A7" w:rsidRPr="00A2255E">
        <w:rPr>
          <w:rFonts w:eastAsia="Times New Roman"/>
          <w:highlight w:val="yellow"/>
        </w:rPr>
        <w:t>CLIENT’s</w:t>
      </w:r>
      <w:r w:rsidR="004A12A7" w:rsidRPr="00313D0F">
        <w:rPr>
          <w:rFonts w:eastAsia="Times New Roman"/>
        </w:rPr>
        <w:t xml:space="preserve"> immigration proceedin</w:t>
      </w:r>
      <w:r w:rsidR="002C39A4" w:rsidRPr="00313D0F">
        <w:rPr>
          <w:rFonts w:eastAsia="Times New Roman"/>
        </w:rPr>
        <w:t>g</w:t>
      </w:r>
      <w:r w:rsidR="004A12A7" w:rsidRPr="00313D0F">
        <w:rPr>
          <w:rFonts w:eastAsia="Times New Roman"/>
        </w:rPr>
        <w:t xml:space="preserve">s. </w:t>
      </w:r>
      <w:r w:rsidR="00BD04B1">
        <w:rPr>
          <w:color w:val="000000" w:themeColor="text1"/>
        </w:rPr>
        <w:t xml:space="preserve">An additional and related safeguard would require the Court to defer to the established documentary record when there is an inconsistency between that record and the </w:t>
      </w:r>
      <w:proofErr w:type="gramStart"/>
      <w:r w:rsidR="00BD04B1">
        <w:rPr>
          <w:color w:val="000000" w:themeColor="text1"/>
        </w:rPr>
        <w:t>respondent’s</w:t>
      </w:r>
      <w:proofErr w:type="gramEnd"/>
      <w:r w:rsidR="00BD04B1">
        <w:rPr>
          <w:color w:val="000000" w:themeColor="text1"/>
        </w:rPr>
        <w:t xml:space="preserve"> hearing testimony. If the respondent has previously submitted documentary evidence that clearly establishes a particular fact, but on the day of the hearing respondent omits or forget that foundational fact (for example </w:t>
      </w:r>
      <w:r w:rsidR="00BD04B1" w:rsidRPr="002C6A48">
        <w:rPr>
          <w:color w:val="000000" w:themeColor="text1"/>
          <w:highlight w:val="yellow"/>
        </w:rPr>
        <w:t>[his/her]</w:t>
      </w:r>
      <w:r w:rsidR="002C6A48">
        <w:rPr>
          <w:color w:val="000000" w:themeColor="text1"/>
        </w:rPr>
        <w:t xml:space="preserve"> address or </w:t>
      </w:r>
      <w:r w:rsidR="00BD04B1">
        <w:rPr>
          <w:color w:val="000000" w:themeColor="text1"/>
        </w:rPr>
        <w:t xml:space="preserve">last place of employment), the Court should not penalize the respondent for the discrepancy, and defer to the documentary evidence instead. </w:t>
      </w:r>
    </w:p>
    <w:p w14:paraId="793D28CC" w14:textId="64304811" w:rsidR="00E07FBB" w:rsidRDefault="00E07FBB" w:rsidP="00BB4740">
      <w:pPr>
        <w:spacing w:line="480" w:lineRule="auto"/>
        <w:ind w:firstLine="720"/>
        <w:rPr>
          <w:rFonts w:eastAsia="Times New Roman"/>
        </w:rPr>
      </w:pPr>
    </w:p>
    <w:p w14:paraId="2B4997D5" w14:textId="0BCB9B74" w:rsidR="00024F33" w:rsidRDefault="00024F33" w:rsidP="00BB4740">
      <w:pPr>
        <w:spacing w:line="480" w:lineRule="auto"/>
        <w:ind w:firstLine="720"/>
        <w:rPr>
          <w:rFonts w:eastAsia="Times New Roman"/>
        </w:rPr>
      </w:pPr>
    </w:p>
    <w:p w14:paraId="1D177ADF" w14:textId="77777777" w:rsidR="00024F33" w:rsidRPr="00313D0F" w:rsidRDefault="00024F33" w:rsidP="00BB4740">
      <w:pPr>
        <w:spacing w:line="480" w:lineRule="auto"/>
        <w:ind w:firstLine="720"/>
        <w:rPr>
          <w:rFonts w:eastAsia="Times New Roman"/>
        </w:rPr>
      </w:pPr>
    </w:p>
    <w:p w14:paraId="3A531E6F" w14:textId="77777777" w:rsidR="004E6106" w:rsidRPr="00812712" w:rsidRDefault="00A50703" w:rsidP="001A1BFE">
      <w:pPr>
        <w:pStyle w:val="ListParagraph"/>
        <w:numPr>
          <w:ilvl w:val="0"/>
          <w:numId w:val="14"/>
        </w:numPr>
        <w:spacing w:line="480" w:lineRule="auto"/>
        <w:rPr>
          <w:rFonts w:ascii="Times New Roman" w:hAnsi="Times New Roman" w:cs="Times New Roman"/>
          <w:b/>
          <w:sz w:val="24"/>
          <w:szCs w:val="24"/>
        </w:rPr>
      </w:pPr>
      <w:r w:rsidRPr="00812712">
        <w:rPr>
          <w:rFonts w:ascii="Times New Roman" w:hAnsi="Times New Roman" w:cs="Times New Roman"/>
          <w:b/>
          <w:sz w:val="24"/>
          <w:szCs w:val="24"/>
        </w:rPr>
        <w:lastRenderedPageBreak/>
        <w:t>Appropriate Safeguards Should Include</w:t>
      </w:r>
      <w:r w:rsidR="004E6106" w:rsidRPr="00812712">
        <w:rPr>
          <w:rFonts w:ascii="Times New Roman" w:hAnsi="Times New Roman" w:cs="Times New Roman"/>
          <w:b/>
          <w:sz w:val="24"/>
          <w:szCs w:val="24"/>
        </w:rPr>
        <w:t xml:space="preserve"> Permitting Short Breaks Between Questioning and Closely Monitoring the Tone and Form During Cross-Examination</w:t>
      </w:r>
    </w:p>
    <w:p w14:paraId="21C359C6" w14:textId="0ED6FA9D" w:rsidR="005C118E" w:rsidRDefault="005C118E" w:rsidP="00F65CB3">
      <w:pPr>
        <w:spacing w:line="480" w:lineRule="auto"/>
      </w:pPr>
      <w:r>
        <w:t xml:space="preserve"> </w:t>
      </w:r>
      <w:r>
        <w:tab/>
      </w:r>
      <w:r w:rsidR="00765FC6">
        <w:t xml:space="preserve">The default structure of cross-examination is currently not conducive to yielding cogent and accurate testimony from people with intellectual or cognitive disabilities. </w:t>
      </w:r>
      <w:r w:rsidR="000431BB">
        <w:t xml:space="preserve">Two </w:t>
      </w:r>
      <w:r w:rsidR="004246BE">
        <w:t xml:space="preserve">aspects of cross-examination </w:t>
      </w:r>
      <w:r w:rsidR="0076051F">
        <w:t xml:space="preserve">questioning </w:t>
      </w:r>
      <w:r w:rsidR="004246BE">
        <w:t>pose particular difficulties for respondents with cognitive or intellectual disabilities.  The</w:t>
      </w:r>
      <w:r w:rsidR="00CE5EA7">
        <w:t xml:space="preserve"> first</w:t>
      </w:r>
      <w:r w:rsidR="0076051F">
        <w:t xml:space="preserve"> </w:t>
      </w:r>
      <w:r w:rsidR="00CE5EA7">
        <w:t xml:space="preserve">troubling </w:t>
      </w:r>
      <w:r w:rsidR="004246BE">
        <w:t xml:space="preserve">aspect of cross-examination is </w:t>
      </w:r>
      <w:r w:rsidR="0076051F">
        <w:t xml:space="preserve">the </w:t>
      </w:r>
      <w:r w:rsidR="004246BE">
        <w:rPr>
          <w:i/>
        </w:rPr>
        <w:t>tone</w:t>
      </w:r>
      <w:r w:rsidR="0076051F">
        <w:rPr>
          <w:i/>
        </w:rPr>
        <w:t xml:space="preserve"> </w:t>
      </w:r>
      <w:r w:rsidR="0076051F">
        <w:t>with which questions are as</w:t>
      </w:r>
      <w:r w:rsidR="00CE5EA7">
        <w:t>k</w:t>
      </w:r>
      <w:r w:rsidR="0076051F">
        <w:t>ed</w:t>
      </w:r>
      <w:r w:rsidR="00BC0ED2">
        <w:t xml:space="preserve"> or </w:t>
      </w:r>
      <w:proofErr w:type="gramStart"/>
      <w:r w:rsidR="00BC0ED2">
        <w:t>perceived to be asked</w:t>
      </w:r>
      <w:proofErr w:type="gramEnd"/>
      <w:r w:rsidR="004246BE">
        <w:t>. T</w:t>
      </w:r>
      <w:r w:rsidR="00632056" w:rsidRPr="007F7AEB">
        <w:t xml:space="preserve">he </w:t>
      </w:r>
      <w:r w:rsidR="00660CF8">
        <w:t xml:space="preserve">brusque manner </w:t>
      </w:r>
      <w:r w:rsidR="0076051F">
        <w:t xml:space="preserve">of many cross-examiners and the </w:t>
      </w:r>
      <w:r w:rsidR="00024F33">
        <w:t>time-</w:t>
      </w:r>
      <w:r w:rsidR="004246BE">
        <w:t xml:space="preserve">pressured environment may increase anxiety in people with cognitive or intellectual disabilities and is more likely to elicit inconsistent or inaccurate answers. </w:t>
      </w:r>
      <w:r w:rsidR="0076051F">
        <w:t xml:space="preserve">The second troubling aspect of cross-examination is in the </w:t>
      </w:r>
      <w:r w:rsidR="0076051F">
        <w:rPr>
          <w:i/>
        </w:rPr>
        <w:t xml:space="preserve">form </w:t>
      </w:r>
      <w:r w:rsidR="0076051F">
        <w:t xml:space="preserve">of the questions. </w:t>
      </w:r>
      <w:r w:rsidR="009049FF">
        <w:t>Complex questions</w:t>
      </w:r>
      <w:r w:rsidR="001100FD">
        <w:t xml:space="preserve"> are </w:t>
      </w:r>
      <w:r w:rsidR="00632056" w:rsidRPr="007F7AEB">
        <w:t xml:space="preserve">more likely to </w:t>
      </w:r>
      <w:r w:rsidR="00632056" w:rsidRPr="007F7AEB">
        <w:rPr>
          <w:noProof/>
        </w:rPr>
        <w:t>elicit</w:t>
      </w:r>
      <w:r w:rsidR="00632056" w:rsidRPr="007F7AEB">
        <w:t xml:space="preserve"> inconsistent or inaccurate answers from people with cognitive or intellectual disabilities such as </w:t>
      </w:r>
      <w:r w:rsidR="00632056" w:rsidRPr="000D03C4">
        <w:rPr>
          <w:highlight w:val="yellow"/>
        </w:rPr>
        <w:t>CLIENT</w:t>
      </w:r>
      <w:r w:rsidR="00632056" w:rsidRPr="005130E0">
        <w:t xml:space="preserve">. </w:t>
      </w:r>
      <w:r w:rsidR="001100FD">
        <w:t xml:space="preserve">Such results </w:t>
      </w:r>
      <w:r w:rsidR="00632056" w:rsidRPr="007F7AEB">
        <w:t xml:space="preserve">detract from, rather than enhance, the ability of the Court to discern the </w:t>
      </w:r>
      <w:r w:rsidR="001100FD">
        <w:t xml:space="preserve">validity </w:t>
      </w:r>
      <w:r w:rsidR="00632056" w:rsidRPr="007F7AEB">
        <w:t xml:space="preserve">of the testimony at issue. </w:t>
      </w:r>
    </w:p>
    <w:p w14:paraId="2740083D" w14:textId="77777777" w:rsidR="00070297" w:rsidRDefault="00755747" w:rsidP="00F65CB3">
      <w:pPr>
        <w:spacing w:line="480" w:lineRule="auto"/>
        <w:rPr>
          <w:rFonts w:eastAsia="Times New Roman"/>
          <w:bCs/>
          <w:color w:val="333333"/>
          <w:shd w:val="clear" w:color="auto" w:fill="FFFFFF"/>
        </w:rPr>
      </w:pPr>
      <w:r>
        <w:t xml:space="preserve"> </w:t>
      </w:r>
      <w:r>
        <w:tab/>
      </w:r>
      <w:r w:rsidR="00680174">
        <w:t>Generally, c</w:t>
      </w:r>
      <w:r>
        <w:t>ross-examination proves</w:t>
      </w:r>
      <w:r w:rsidR="00817FB8">
        <w:t xml:space="preserve"> especially</w:t>
      </w:r>
      <w:r w:rsidR="005C118E">
        <w:t xml:space="preserve"> difficult for individu</w:t>
      </w:r>
      <w:r>
        <w:t xml:space="preserve">als with cognitive disabilities.  </w:t>
      </w:r>
      <w:proofErr w:type="gramStart"/>
      <w:r w:rsidR="003118D6">
        <w:rPr>
          <w:i/>
        </w:rPr>
        <w:t xml:space="preserve">See </w:t>
      </w:r>
      <w:r w:rsidR="003118D6">
        <w:t xml:space="preserve">Adrian Keane, </w:t>
      </w:r>
      <w:r w:rsidR="003118D6">
        <w:rPr>
          <w:i/>
        </w:rPr>
        <w:t>Cross-Examination of Vulnerable Witnesses—Towards A Blueprint for Re-</w:t>
      </w:r>
      <w:proofErr w:type="spellStart"/>
      <w:r w:rsidR="003118D6">
        <w:rPr>
          <w:i/>
        </w:rPr>
        <w:t>Professionalisation</w:t>
      </w:r>
      <w:proofErr w:type="spellEnd"/>
      <w:r w:rsidR="003118D6">
        <w:t>, 16 Int’l J. Evi</w:t>
      </w:r>
      <w:r w:rsidR="00070297">
        <w:t>dence</w:t>
      </w:r>
      <w:r w:rsidR="003118D6">
        <w:t xml:space="preserve"> &amp; Proof 175, 176 (2012) (“There is an abundance of research . . . across a range of jurisdictions, to indicate that the deployment of cross-examination techniques of the traditional kind described, promoted and sometimes glorified in advocacy texts. . . can confuse vulnerable witnesses, reduce their ability to comprehend the questions and diminish the cogency and accuracy of their testimony.”);  </w:t>
      </w:r>
      <w:r w:rsidR="003118D6" w:rsidRPr="002A3887">
        <w:t>P</w:t>
      </w:r>
      <w:r w:rsidR="003118D6" w:rsidRPr="002A3887">
        <w:rPr>
          <w:rFonts w:eastAsia="Times New Roman"/>
          <w:bCs/>
          <w:color w:val="333333"/>
          <w:shd w:val="clear" w:color="auto" w:fill="FFFFFF"/>
        </w:rPr>
        <w:t xml:space="preserve">hoebe Bowden, </w:t>
      </w:r>
      <w:proofErr w:type="spellStart"/>
      <w:r w:rsidR="003118D6" w:rsidRPr="002A3887">
        <w:rPr>
          <w:rFonts w:eastAsia="Times New Roman"/>
          <w:bCs/>
          <w:color w:val="333333"/>
          <w:shd w:val="clear" w:color="auto" w:fill="FFFFFF"/>
        </w:rPr>
        <w:t>Terese</w:t>
      </w:r>
      <w:proofErr w:type="spellEnd"/>
      <w:r w:rsidR="003118D6" w:rsidRPr="002A3887">
        <w:rPr>
          <w:rFonts w:eastAsia="Times New Roman"/>
          <w:bCs/>
          <w:color w:val="333333"/>
          <w:shd w:val="clear" w:color="auto" w:fill="FFFFFF"/>
        </w:rPr>
        <w:t xml:space="preserve"> Henning &amp; David Plater,</w:t>
      </w:r>
      <w:r w:rsidR="003118D6" w:rsidRPr="002A3887">
        <w:rPr>
          <w:rStyle w:val="apple-converted-space"/>
          <w:rFonts w:eastAsia="Times New Roman"/>
          <w:bCs/>
          <w:color w:val="333333"/>
          <w:shd w:val="clear" w:color="auto" w:fill="FFFFFF"/>
        </w:rPr>
        <w:t> </w:t>
      </w:r>
      <w:r w:rsidR="003118D6" w:rsidRPr="002A3887">
        <w:rPr>
          <w:rFonts w:eastAsia="Times New Roman"/>
          <w:bCs/>
          <w:i/>
          <w:iCs/>
          <w:color w:val="333333"/>
          <w:shd w:val="clear" w:color="auto" w:fill="FFFFFF"/>
        </w:rPr>
        <w:t>Balancing Fairness to Victims, Society and Defendants in the Cross-Examination of Vulnerable Witnesses: An Impossible Triangulation?</w:t>
      </w:r>
      <w:r w:rsidR="003118D6" w:rsidRPr="002A3887">
        <w:rPr>
          <w:rFonts w:eastAsia="Times New Roman"/>
          <w:bCs/>
          <w:color w:val="333333"/>
          <w:shd w:val="clear" w:color="auto" w:fill="FFFFFF"/>
        </w:rPr>
        <w:t xml:space="preserve">, </w:t>
      </w:r>
      <w:r w:rsidR="003118D6" w:rsidRPr="002A3887">
        <w:rPr>
          <w:rFonts w:eastAsia="Times New Roman"/>
          <w:bCs/>
          <w:color w:val="333333"/>
          <w:shd w:val="clear" w:color="auto" w:fill="FFFFFF"/>
        </w:rPr>
        <w:lastRenderedPageBreak/>
        <w:t>37</w:t>
      </w:r>
      <w:r w:rsidR="003118D6" w:rsidRPr="002A3887">
        <w:rPr>
          <w:rStyle w:val="apple-converted-space"/>
          <w:rFonts w:eastAsia="Times New Roman"/>
          <w:bCs/>
          <w:color w:val="333333"/>
          <w:shd w:val="clear" w:color="auto" w:fill="FFFFFF"/>
        </w:rPr>
        <w:t> </w:t>
      </w:r>
      <w:r w:rsidR="003118D6" w:rsidRPr="002A3887">
        <w:rPr>
          <w:rFonts w:eastAsia="Times New Roman"/>
          <w:bCs/>
          <w:color w:val="333333"/>
          <w:shd w:val="clear" w:color="auto" w:fill="FFFFFF"/>
        </w:rPr>
        <w:t>Melbourne U. L. Rev. 539</w:t>
      </w:r>
      <w:r w:rsidR="003118D6" w:rsidRPr="002A3887">
        <w:rPr>
          <w:rStyle w:val="apple-converted-space"/>
          <w:rFonts w:eastAsia="Times New Roman"/>
          <w:bCs/>
          <w:color w:val="333333"/>
          <w:shd w:val="clear" w:color="auto" w:fill="FFFFFF"/>
        </w:rPr>
        <w:t>,</w:t>
      </w:r>
      <w:r w:rsidR="003118D6">
        <w:rPr>
          <w:rStyle w:val="apple-converted-space"/>
          <w:rFonts w:eastAsia="Times New Roman"/>
          <w:bCs/>
          <w:color w:val="333333"/>
          <w:shd w:val="clear" w:color="auto" w:fill="FFFFFF"/>
        </w:rPr>
        <w:t xml:space="preserve"> 541</w:t>
      </w:r>
      <w:r w:rsidR="003118D6" w:rsidRPr="002A3887">
        <w:rPr>
          <w:rStyle w:val="apple-converted-space"/>
          <w:rFonts w:eastAsia="Times New Roman"/>
          <w:bCs/>
          <w:color w:val="333333"/>
          <w:shd w:val="clear" w:color="auto" w:fill="FFFFFF"/>
        </w:rPr>
        <w:t xml:space="preserve"> </w:t>
      </w:r>
      <w:r w:rsidR="003118D6" w:rsidRPr="002A3887">
        <w:rPr>
          <w:rFonts w:eastAsia="Times New Roman"/>
          <w:bCs/>
          <w:color w:val="333333"/>
          <w:shd w:val="clear" w:color="auto" w:fill="FFFFFF"/>
        </w:rPr>
        <w:t>(2014)</w:t>
      </w:r>
      <w:r w:rsidR="00AD410C">
        <w:rPr>
          <w:rFonts w:eastAsia="Times New Roman"/>
          <w:bCs/>
          <w:color w:val="333333"/>
          <w:shd w:val="clear" w:color="auto" w:fill="FFFFFF"/>
        </w:rPr>
        <w:t xml:space="preserve"> [hereinafter </w:t>
      </w:r>
      <w:r w:rsidR="00AD410C">
        <w:rPr>
          <w:rFonts w:eastAsia="Times New Roman"/>
          <w:bCs/>
          <w:i/>
          <w:color w:val="333333"/>
          <w:shd w:val="clear" w:color="auto" w:fill="FFFFFF"/>
        </w:rPr>
        <w:t>Balancing Fairness</w:t>
      </w:r>
      <w:r w:rsidR="00AD410C">
        <w:rPr>
          <w:rFonts w:eastAsia="Times New Roman"/>
          <w:bCs/>
          <w:color w:val="333333"/>
          <w:shd w:val="clear" w:color="auto" w:fill="FFFFFF"/>
        </w:rPr>
        <w:t>]</w:t>
      </w:r>
      <w:r w:rsidR="003118D6">
        <w:rPr>
          <w:rFonts w:eastAsia="Times New Roman"/>
          <w:bCs/>
          <w:color w:val="333333"/>
          <w:shd w:val="clear" w:color="auto" w:fill="FFFFFF"/>
        </w:rPr>
        <w:t xml:space="preserve"> (“I</w:t>
      </w:r>
      <w:r w:rsidR="00070297">
        <w:rPr>
          <w:rFonts w:eastAsia="Times New Roman"/>
          <w:bCs/>
          <w:color w:val="333333"/>
          <w:shd w:val="clear" w:color="auto" w:fill="FFFFFF"/>
        </w:rPr>
        <w:t xml:space="preserve">t is well-established that </w:t>
      </w:r>
      <w:r w:rsidR="003118D6">
        <w:rPr>
          <w:rFonts w:eastAsia="Times New Roman"/>
          <w:bCs/>
          <w:color w:val="333333"/>
          <w:shd w:val="clear" w:color="auto" w:fill="FFFFFF"/>
        </w:rPr>
        <w:t>the cross-examination of children and persons with intellectual disabilities can cause them to give unreliable evidence.”).</w:t>
      </w:r>
      <w:proofErr w:type="gramEnd"/>
      <w:r w:rsidR="003118D6">
        <w:rPr>
          <w:rFonts w:eastAsia="Times New Roman"/>
          <w:bCs/>
          <w:color w:val="333333"/>
          <w:shd w:val="clear" w:color="auto" w:fill="FFFFFF"/>
        </w:rPr>
        <w:t xml:space="preserve"> </w:t>
      </w:r>
    </w:p>
    <w:p w14:paraId="5E57C56A" w14:textId="1BB63A9A" w:rsidR="000B58BB" w:rsidRDefault="00AB2CC2" w:rsidP="00070297">
      <w:pPr>
        <w:spacing w:line="480" w:lineRule="auto"/>
        <w:ind w:firstLine="720"/>
        <w:rPr>
          <w:rFonts w:eastAsia="Times New Roman"/>
          <w:color w:val="000000" w:themeColor="text1"/>
        </w:rPr>
      </w:pPr>
      <w:r>
        <w:rPr>
          <w:rFonts w:eastAsia="Times New Roman"/>
          <w:bCs/>
          <w:color w:val="333333"/>
          <w:shd w:val="clear" w:color="auto" w:fill="FFFFFF"/>
        </w:rPr>
        <w:t xml:space="preserve">Difficulties with cross-examination for individuals with cognitive disabilities </w:t>
      </w:r>
      <w:r w:rsidR="00070297">
        <w:rPr>
          <w:rFonts w:eastAsia="Times New Roman"/>
          <w:bCs/>
          <w:color w:val="333333"/>
          <w:shd w:val="clear" w:color="auto" w:fill="FFFFFF"/>
        </w:rPr>
        <w:t>occur</w:t>
      </w:r>
      <w:r>
        <w:rPr>
          <w:rFonts w:eastAsia="Times New Roman"/>
          <w:bCs/>
          <w:color w:val="333333"/>
          <w:shd w:val="clear" w:color="auto" w:fill="FFFFFF"/>
        </w:rPr>
        <w:t xml:space="preserve"> for several reasons. </w:t>
      </w:r>
      <w:r w:rsidR="00070297">
        <w:rPr>
          <w:rFonts w:eastAsia="Times New Roman"/>
          <w:bCs/>
          <w:color w:val="333333"/>
          <w:shd w:val="clear" w:color="auto" w:fill="FFFFFF"/>
        </w:rPr>
        <w:t>Such i</w:t>
      </w:r>
      <w:r w:rsidR="00755747" w:rsidRPr="006604D8">
        <w:t xml:space="preserve">ndividuals </w:t>
      </w:r>
      <w:r>
        <w:t xml:space="preserve">are typically </w:t>
      </w:r>
      <w:r w:rsidR="006321A8" w:rsidRPr="006604D8">
        <w:t>more prone to anxiety than other witnesses</w:t>
      </w:r>
      <w:r>
        <w:t>, which can adversely affect their recall</w:t>
      </w:r>
      <w:r w:rsidR="006321A8" w:rsidRPr="006604D8">
        <w:t>.</w:t>
      </w:r>
      <w:r w:rsidR="00E21069">
        <w:t xml:space="preserve"> </w:t>
      </w:r>
      <w:r w:rsidR="00E21069">
        <w:rPr>
          <w:i/>
        </w:rPr>
        <w:t>Id</w:t>
      </w:r>
      <w:r w:rsidR="00E21069">
        <w:t xml:space="preserve">. at 556. </w:t>
      </w:r>
      <w:r w:rsidR="003118D6">
        <w:t xml:space="preserve"> </w:t>
      </w:r>
      <w:r w:rsidR="006604D8">
        <w:t>People with cognitive disabilities</w:t>
      </w:r>
      <w:r w:rsidR="00E21069">
        <w:t xml:space="preserve"> also </w:t>
      </w:r>
      <w:r w:rsidR="006604D8">
        <w:t>tend</w:t>
      </w:r>
      <w:r w:rsidR="00342FDE">
        <w:rPr>
          <w:rFonts w:eastAsia="Times New Roman"/>
          <w:color w:val="000000" w:themeColor="text1"/>
        </w:rPr>
        <w:t xml:space="preserve"> to </w:t>
      </w:r>
      <w:r w:rsidR="00E21069">
        <w:rPr>
          <w:rFonts w:eastAsia="Times New Roman"/>
          <w:color w:val="000000" w:themeColor="text1"/>
        </w:rPr>
        <w:t xml:space="preserve">be more suggestible when questioned by </w:t>
      </w:r>
      <w:r w:rsidR="00755747">
        <w:rPr>
          <w:rFonts w:eastAsia="Times New Roman"/>
          <w:color w:val="000000" w:themeColor="text1"/>
        </w:rPr>
        <w:t xml:space="preserve">an unfamiliar or </w:t>
      </w:r>
      <w:r w:rsidR="006321A8">
        <w:rPr>
          <w:rFonts w:eastAsia="Times New Roman"/>
          <w:color w:val="000000" w:themeColor="text1"/>
        </w:rPr>
        <w:t>authoritative figure</w:t>
      </w:r>
      <w:r w:rsidR="00755747">
        <w:rPr>
          <w:rFonts w:eastAsia="Times New Roman"/>
          <w:color w:val="000000" w:themeColor="text1"/>
        </w:rPr>
        <w:t>.</w:t>
      </w:r>
      <w:r w:rsidR="00E21069" w:rsidDel="00E21069">
        <w:rPr>
          <w:rStyle w:val="FootnoteReference"/>
          <w:rFonts w:eastAsia="Times New Roman"/>
          <w:color w:val="000000" w:themeColor="text1"/>
        </w:rPr>
        <w:t xml:space="preserve"> </w:t>
      </w:r>
      <w:r w:rsidR="006604D8">
        <w:rPr>
          <w:rFonts w:eastAsia="Times New Roman"/>
          <w:i/>
          <w:color w:val="000000" w:themeColor="text1"/>
        </w:rPr>
        <w:t>See</w:t>
      </w:r>
      <w:r w:rsidR="006604D8">
        <w:rPr>
          <w:rFonts w:eastAsia="Times New Roman"/>
          <w:color w:val="000000" w:themeColor="text1"/>
        </w:rPr>
        <w:t xml:space="preserve"> </w:t>
      </w:r>
      <w:r w:rsidR="006604D8">
        <w:rPr>
          <w:rFonts w:eastAsia="Times New Roman"/>
          <w:i/>
          <w:color w:val="000000" w:themeColor="text1"/>
        </w:rPr>
        <w:t>id</w:t>
      </w:r>
      <w:r w:rsidR="006604D8">
        <w:rPr>
          <w:rFonts w:eastAsia="Times New Roman"/>
          <w:color w:val="000000" w:themeColor="text1"/>
        </w:rPr>
        <w:t xml:space="preserve">.; </w:t>
      </w:r>
      <w:r w:rsidR="006604D8">
        <w:rPr>
          <w:rFonts w:eastAsia="Times New Roman"/>
          <w:color w:val="000000"/>
        </w:rPr>
        <w:t xml:space="preserve">Nat’l Ctr. Crim. J. &amp; Disability, </w:t>
      </w:r>
      <w:r w:rsidR="006604D8">
        <w:rPr>
          <w:rFonts w:eastAsia="Times New Roman"/>
          <w:i/>
          <w:color w:val="000000"/>
        </w:rPr>
        <w:t>Shining a Light on Traditionally Hidden Disabilities</w:t>
      </w:r>
      <w:r w:rsidR="004A76C0">
        <w:rPr>
          <w:rFonts w:eastAsia="Times New Roman"/>
          <w:i/>
          <w:color w:val="000000"/>
        </w:rPr>
        <w:t xml:space="preserve"> Part Two </w:t>
      </w:r>
      <w:r w:rsidR="004A76C0">
        <w:rPr>
          <w:rFonts w:eastAsia="Times New Roman"/>
          <w:color w:val="000000"/>
        </w:rPr>
        <w:t>Community Policing Dispatch</w:t>
      </w:r>
      <w:r w:rsidR="006604D8">
        <w:rPr>
          <w:rFonts w:eastAsia="Times New Roman"/>
          <w:i/>
          <w:color w:val="000000"/>
        </w:rPr>
        <w:t xml:space="preserve"> </w:t>
      </w:r>
      <w:r w:rsidR="004A76C0">
        <w:rPr>
          <w:rFonts w:eastAsia="Times New Roman"/>
          <w:color w:val="000000"/>
        </w:rPr>
        <w:t>(</w:t>
      </w:r>
      <w:r w:rsidR="006604D8">
        <w:rPr>
          <w:rFonts w:eastAsia="Times New Roman"/>
          <w:color w:val="000000"/>
        </w:rPr>
        <w:t xml:space="preserve">2014), </w:t>
      </w:r>
      <w:r w:rsidR="00E21069" w:rsidRPr="00792C48">
        <w:rPr>
          <w:color w:val="000000"/>
        </w:rPr>
        <w:t>https://cops.usdoj.gov/html/dispatch/12-2014/shining_a_light_on_hidden_disabilities.asp</w:t>
      </w:r>
      <w:r w:rsidR="00E21069">
        <w:rPr>
          <w:rFonts w:eastAsia="Times New Roman"/>
          <w:color w:val="000000" w:themeColor="text1"/>
        </w:rPr>
        <w:t xml:space="preserve">. </w:t>
      </w:r>
      <w:r w:rsidR="006D2D07">
        <w:rPr>
          <w:rFonts w:eastAsia="Times New Roman"/>
          <w:color w:val="000000" w:themeColor="text1"/>
        </w:rPr>
        <w:t xml:space="preserve">For these reasons, careful monitoring of the tone of cross-examination can be vital to ensuring that respondents answer truthfully. </w:t>
      </w:r>
    </w:p>
    <w:p w14:paraId="683D4E18" w14:textId="614439AE" w:rsidR="0015262C" w:rsidRPr="0015262C" w:rsidRDefault="00E571BB" w:rsidP="0015262C">
      <w:pPr>
        <w:spacing w:line="480" w:lineRule="auto"/>
        <w:ind w:firstLine="720"/>
        <w:rPr>
          <w:rFonts w:eastAsia="Times New Roman"/>
          <w:color w:val="000000" w:themeColor="text1"/>
        </w:rPr>
      </w:pPr>
      <w:r>
        <w:t xml:space="preserve">Proper accommodation during cross-examination also requires attention to the form and context of questions. </w:t>
      </w:r>
      <w:r w:rsidR="000B58BB" w:rsidRPr="005130E0">
        <w:t xml:space="preserve">Questions with </w:t>
      </w:r>
      <w:r w:rsidR="000B58BB" w:rsidRPr="005130E0">
        <w:rPr>
          <w:rFonts w:eastAsia="Times New Roman"/>
        </w:rPr>
        <w:t>double negatives, multipart questions, and questions with complex vocabulary and sentence structure</w:t>
      </w:r>
      <w:r w:rsidR="000B58BB">
        <w:rPr>
          <w:rFonts w:eastAsia="Times New Roman"/>
        </w:rPr>
        <w:t xml:space="preserve"> are all examples of types of questions that people with intellectual or cognitive disabilities struggle to answer accurately</w:t>
      </w:r>
      <w:r w:rsidR="00D054DA">
        <w:rPr>
          <w:rFonts w:eastAsia="Times New Roman"/>
        </w:rPr>
        <w:t>.</w:t>
      </w:r>
      <w:r w:rsidR="00AD410C" w:rsidRPr="006321A8">
        <w:rPr>
          <w:rFonts w:eastAsia="Times New Roman"/>
          <w:sz w:val="20"/>
          <w:szCs w:val="20"/>
        </w:rPr>
        <w:t xml:space="preserve"> </w:t>
      </w:r>
      <w:r w:rsidR="00AD410C" w:rsidRPr="00792C48">
        <w:rPr>
          <w:rFonts w:eastAsia="Times New Roman"/>
        </w:rPr>
        <w:t xml:space="preserve">Mark R. </w:t>
      </w:r>
      <w:proofErr w:type="spellStart"/>
      <w:r w:rsidR="00AD410C" w:rsidRPr="00792C48">
        <w:rPr>
          <w:rFonts w:eastAsia="Times New Roman"/>
        </w:rPr>
        <w:t>Kebbell</w:t>
      </w:r>
      <w:proofErr w:type="spellEnd"/>
      <w:r w:rsidR="00AD410C" w:rsidRPr="00792C48">
        <w:rPr>
          <w:rFonts w:eastAsia="Times New Roman"/>
        </w:rPr>
        <w:t xml:space="preserve"> et al., </w:t>
      </w:r>
      <w:r w:rsidR="00AD410C" w:rsidRPr="00792C48">
        <w:rPr>
          <w:rFonts w:eastAsia="Times New Roman"/>
          <w:i/>
        </w:rPr>
        <w:t xml:space="preserve">Witnesses with Intellectual Disabilities in Court: What Questions are Asked and What Influence Do They </w:t>
      </w:r>
      <w:proofErr w:type="gramStart"/>
      <w:r w:rsidR="00AD410C" w:rsidRPr="00792C48">
        <w:rPr>
          <w:rFonts w:eastAsia="Times New Roman"/>
          <w:i/>
        </w:rPr>
        <w:t>Have?</w:t>
      </w:r>
      <w:proofErr w:type="gramEnd"/>
      <w:r w:rsidR="00AD410C" w:rsidRPr="00792C48">
        <w:rPr>
          <w:rFonts w:eastAsia="Times New Roman"/>
          <w:i/>
        </w:rPr>
        <w:t xml:space="preserve"> </w:t>
      </w:r>
      <w:proofErr w:type="gramStart"/>
      <w:r w:rsidR="00AD410C" w:rsidRPr="00792C48">
        <w:rPr>
          <w:rFonts w:eastAsia="Times New Roman"/>
        </w:rPr>
        <w:t>9</w:t>
      </w:r>
      <w:proofErr w:type="gramEnd"/>
      <w:r w:rsidR="00AD410C" w:rsidRPr="00792C48">
        <w:rPr>
          <w:rFonts w:eastAsia="Times New Roman"/>
          <w:i/>
        </w:rPr>
        <w:t xml:space="preserve"> </w:t>
      </w:r>
      <w:r w:rsidR="00AD410C" w:rsidRPr="00792C48">
        <w:rPr>
          <w:rFonts w:eastAsia="Times New Roman"/>
        </w:rPr>
        <w:t xml:space="preserve">Legal &amp; </w:t>
      </w:r>
      <w:r w:rsidR="00024F33">
        <w:rPr>
          <w:rFonts w:eastAsia="Times New Roman"/>
        </w:rPr>
        <w:t xml:space="preserve">Criminological Psych. 25 (2004). </w:t>
      </w:r>
      <w:r w:rsidR="007D6CD7">
        <w:rPr>
          <w:rFonts w:eastAsia="Times New Roman"/>
        </w:rPr>
        <w:t>A person with a cognit</w:t>
      </w:r>
      <w:r w:rsidR="00953DA3">
        <w:rPr>
          <w:rFonts w:eastAsia="Times New Roman"/>
        </w:rPr>
        <w:t>i</w:t>
      </w:r>
      <w:r w:rsidR="007D6CD7">
        <w:rPr>
          <w:rFonts w:eastAsia="Times New Roman"/>
        </w:rPr>
        <w:t>v</w:t>
      </w:r>
      <w:r w:rsidR="00953DA3">
        <w:rPr>
          <w:rFonts w:eastAsia="Times New Roman"/>
        </w:rPr>
        <w:t>e or intellectual disabili</w:t>
      </w:r>
      <w:r w:rsidR="007D6CD7">
        <w:rPr>
          <w:rFonts w:eastAsia="Times New Roman"/>
        </w:rPr>
        <w:t>ty usually faces some difficult</w:t>
      </w:r>
      <w:r w:rsidR="00953DA3">
        <w:rPr>
          <w:rFonts w:eastAsia="Times New Roman"/>
        </w:rPr>
        <w:t xml:space="preserve">y with </w:t>
      </w:r>
      <w:r w:rsidR="00E21069">
        <w:rPr>
          <w:rFonts w:eastAsia="Times New Roman"/>
        </w:rPr>
        <w:t>processing language</w:t>
      </w:r>
      <w:r w:rsidR="00953DA3">
        <w:rPr>
          <w:rFonts w:eastAsia="Times New Roman"/>
        </w:rPr>
        <w:t>.</w:t>
      </w:r>
      <w:r w:rsidR="00E21069">
        <w:rPr>
          <w:rFonts w:eastAsia="Times New Roman"/>
        </w:rPr>
        <w:t xml:space="preserve"> </w:t>
      </w:r>
      <w:r w:rsidR="00AD410C">
        <w:rPr>
          <w:rFonts w:eastAsia="Times New Roman"/>
        </w:rPr>
        <w:t xml:space="preserve">Rebecca Milne &amp; Ray Bull, </w:t>
      </w:r>
      <w:r w:rsidR="00AD410C">
        <w:rPr>
          <w:rFonts w:eastAsia="Times New Roman"/>
          <w:i/>
        </w:rPr>
        <w:t>Interviewing Witnesses With Learning Disabilities for Legal Purposes</w:t>
      </w:r>
      <w:r w:rsidR="00AD410C">
        <w:rPr>
          <w:rFonts w:eastAsia="Times New Roman"/>
        </w:rPr>
        <w:t>, 29 British J. Learning Disabilities 93</w:t>
      </w:r>
      <w:r w:rsidR="00AD410C">
        <w:rPr>
          <w:rFonts w:eastAsia="Times New Roman"/>
        </w:rPr>
        <w:softHyphen/>
        <w:t xml:space="preserve">, 94  (2001).  </w:t>
      </w:r>
      <w:r w:rsidR="007D6CD7">
        <w:rPr>
          <w:rFonts w:eastAsia="Times New Roman"/>
        </w:rPr>
        <w:t>Complicated questions only exacerbate these</w:t>
      </w:r>
      <w:r w:rsidR="00AF3113">
        <w:rPr>
          <w:rFonts w:eastAsia="Times New Roman"/>
        </w:rPr>
        <w:t xml:space="preserve"> difficulties</w:t>
      </w:r>
      <w:r w:rsidR="000B58BB">
        <w:rPr>
          <w:rFonts w:eastAsia="Times New Roman"/>
        </w:rPr>
        <w:t xml:space="preserve">. </w:t>
      </w:r>
      <w:r w:rsidR="00D054DA">
        <w:rPr>
          <w:rFonts w:eastAsia="Times New Roman"/>
          <w:color w:val="000000" w:themeColor="text1"/>
        </w:rPr>
        <w:t>Peo</w:t>
      </w:r>
      <w:r w:rsidR="000A1C67">
        <w:rPr>
          <w:rFonts w:eastAsia="Times New Roman"/>
          <w:color w:val="000000" w:themeColor="text1"/>
        </w:rPr>
        <w:t xml:space="preserve">ple with cognitive disabilities are also accustomed to hiding difficulties with comprehension in order to blend in with others, </w:t>
      </w:r>
      <w:r w:rsidR="00D054DA">
        <w:rPr>
          <w:rFonts w:eastAsia="Times New Roman"/>
          <w:color w:val="000000" w:themeColor="text1"/>
        </w:rPr>
        <w:t xml:space="preserve">and so may not always seek clarification of confusing or complex questions. </w:t>
      </w:r>
      <w:r w:rsidR="00004F10">
        <w:rPr>
          <w:rFonts w:eastAsia="Times New Roman"/>
          <w:i/>
          <w:color w:val="000000" w:themeColor="text1"/>
        </w:rPr>
        <w:t xml:space="preserve">See Balancing Fairness </w:t>
      </w:r>
      <w:r w:rsidR="00004F10">
        <w:rPr>
          <w:rFonts w:eastAsia="Times New Roman"/>
          <w:color w:val="000000" w:themeColor="text1"/>
        </w:rPr>
        <w:t>at 541(making this point).</w:t>
      </w:r>
      <w:r w:rsidR="00632056" w:rsidRPr="005130E0">
        <w:rPr>
          <w:rFonts w:eastAsia="Times New Roman"/>
        </w:rPr>
        <w:t xml:space="preserve">To minimize the risk that </w:t>
      </w:r>
      <w:r w:rsidR="00632056" w:rsidRPr="000A1C67">
        <w:rPr>
          <w:rFonts w:eastAsia="Times New Roman"/>
          <w:highlight w:val="yellow"/>
        </w:rPr>
        <w:lastRenderedPageBreak/>
        <w:t>CLIENT</w:t>
      </w:r>
      <w:r w:rsidR="00632056" w:rsidRPr="005130E0">
        <w:rPr>
          <w:rFonts w:eastAsia="Times New Roman"/>
        </w:rPr>
        <w:t xml:space="preserve"> will become confused </w:t>
      </w:r>
      <w:r w:rsidR="007D6CD7">
        <w:rPr>
          <w:rFonts w:eastAsia="Times New Roman"/>
        </w:rPr>
        <w:t xml:space="preserve">or nonresponsive during </w:t>
      </w:r>
      <w:r w:rsidR="00632056" w:rsidRPr="005130E0">
        <w:rPr>
          <w:rFonts w:eastAsia="Times New Roman"/>
        </w:rPr>
        <w:t xml:space="preserve"> cross-examination, </w:t>
      </w:r>
      <w:r w:rsidR="00632056" w:rsidRPr="005130E0">
        <w:t>we ask that the Court limit the scope</w:t>
      </w:r>
      <w:r w:rsidR="000A1C67">
        <w:t xml:space="preserve"> of cross-examination questions, permit short breaks, </w:t>
      </w:r>
      <w:r w:rsidR="00632056" w:rsidRPr="005130E0">
        <w:t>and closely monitor the nature of the</w:t>
      </w:r>
      <w:r w:rsidR="00813796">
        <w:t xml:space="preserve"> questioning of the government’s</w:t>
      </w:r>
      <w:r w:rsidR="00632056" w:rsidRPr="005130E0">
        <w:t xml:space="preserve"> attorney</w:t>
      </w:r>
      <w:r w:rsidR="00D054DA">
        <w:t xml:space="preserve">. This would include ensuring that the government </w:t>
      </w:r>
      <w:r w:rsidR="00813796">
        <w:t xml:space="preserve">attorney </w:t>
      </w:r>
      <w:r w:rsidR="00D054DA">
        <w:t xml:space="preserve">uses simple language, and speaks in a respectful tone that does not threaten or intimidate </w:t>
      </w:r>
      <w:r w:rsidR="003B546A" w:rsidRPr="003B546A">
        <w:rPr>
          <w:highlight w:val="yellow"/>
        </w:rPr>
        <w:t>CLIENT</w:t>
      </w:r>
      <w:r w:rsidR="00D054DA">
        <w:t>, ensuring that all questions</w:t>
      </w:r>
      <w:r w:rsidR="00742C4F" w:rsidRPr="005130E0">
        <w:t xml:space="preserve"> “focus the language a</w:t>
      </w:r>
      <w:r w:rsidR="0015262C">
        <w:t>nd demeanor to a range that the client</w:t>
      </w:r>
      <w:r w:rsidR="00742C4F" w:rsidRPr="005130E0">
        <w:t xml:space="preserve"> best understands.”</w:t>
      </w:r>
      <w:r w:rsidR="0015262C">
        <w:t xml:space="preserve"> </w:t>
      </w:r>
      <w:r w:rsidR="0015262C" w:rsidRPr="00F370D9">
        <w:t xml:space="preserve">Exec. Off. </w:t>
      </w:r>
      <w:proofErr w:type="spellStart"/>
      <w:r w:rsidR="0015262C" w:rsidRPr="00F370D9">
        <w:t>Immigr</w:t>
      </w:r>
      <w:proofErr w:type="spellEnd"/>
      <w:r w:rsidR="0015262C" w:rsidRPr="00F370D9">
        <w:t xml:space="preserve">. Rev., </w:t>
      </w:r>
      <w:r w:rsidR="0015262C" w:rsidRPr="00F370D9">
        <w:rPr>
          <w:i/>
        </w:rPr>
        <w:t xml:space="preserve">Immigration Judge </w:t>
      </w:r>
      <w:proofErr w:type="spellStart"/>
      <w:r w:rsidR="0015262C" w:rsidRPr="00F370D9">
        <w:rPr>
          <w:i/>
        </w:rPr>
        <w:t>Benchbook</w:t>
      </w:r>
      <w:proofErr w:type="spellEnd"/>
      <w:r w:rsidR="0015262C" w:rsidRPr="00F370D9">
        <w:t xml:space="preserve">: </w:t>
      </w:r>
      <w:r w:rsidR="0015262C" w:rsidRPr="00F370D9">
        <w:rPr>
          <w:i/>
        </w:rPr>
        <w:t>Mental Health Issues</w:t>
      </w:r>
      <w:r w:rsidR="0015262C" w:rsidRPr="00F370D9">
        <w:t xml:space="preserve">, </w:t>
      </w:r>
      <w:r w:rsidR="00542E15">
        <w:t xml:space="preserve">DOJ, </w:t>
      </w:r>
      <w:r w:rsidR="0015262C" w:rsidRPr="00F370D9">
        <w:t>https://www.justice.gov/eoir/immigration-judge-benchbook-mental-health-issues (last updated Feb. 6, 2015).</w:t>
      </w:r>
    </w:p>
    <w:p w14:paraId="12E9DFB7" w14:textId="3C66F67D" w:rsidR="00E2071A" w:rsidRDefault="00742C4F" w:rsidP="00792C48">
      <w:pPr>
        <w:spacing w:line="480" w:lineRule="auto"/>
        <w:ind w:firstLine="360"/>
      </w:pPr>
      <w:r w:rsidRPr="005130E0">
        <w:t xml:space="preserve"> </w:t>
      </w:r>
      <w:r w:rsidR="00632056" w:rsidRPr="005130E0">
        <w:t xml:space="preserve"> </w:t>
      </w:r>
      <w:r w:rsidR="001C3D3C">
        <w:t>Counsel als</w:t>
      </w:r>
      <w:r w:rsidR="00A00C3E">
        <w:t>o requests that the court allow</w:t>
      </w:r>
      <w:r w:rsidR="00632056" w:rsidRPr="005130E0">
        <w:t xml:space="preserve"> </w:t>
      </w:r>
      <w:r w:rsidR="00632056" w:rsidRPr="006A50EF">
        <w:rPr>
          <w:highlight w:val="yellow"/>
        </w:rPr>
        <w:t>C</w:t>
      </w:r>
      <w:r w:rsidR="00792331" w:rsidRPr="006A50EF">
        <w:rPr>
          <w:highlight w:val="yellow"/>
        </w:rPr>
        <w:t>LIENT</w:t>
      </w:r>
      <w:r w:rsidR="00792331" w:rsidRPr="005130E0">
        <w:t xml:space="preserve"> to take breaks after questioning if </w:t>
      </w:r>
      <w:r w:rsidR="0015262C" w:rsidRPr="006A50EF">
        <w:rPr>
          <w:highlight w:val="yellow"/>
        </w:rPr>
        <w:t>[HE/SHE]</w:t>
      </w:r>
      <w:r w:rsidR="0015262C">
        <w:t xml:space="preserve"> </w:t>
      </w:r>
      <w:r w:rsidR="00792331" w:rsidRPr="005130E0">
        <w:t>app</w:t>
      </w:r>
      <w:r w:rsidR="00792331" w:rsidRPr="007F7AEB">
        <w:t>ears agitated</w:t>
      </w:r>
      <w:r w:rsidR="00255C2F" w:rsidRPr="007F7AEB">
        <w:t xml:space="preserve"> or hesitant. </w:t>
      </w:r>
    </w:p>
    <w:p w14:paraId="31381FA9" w14:textId="77777777" w:rsidR="00742C4F" w:rsidRPr="006321A8" w:rsidRDefault="00742C4F" w:rsidP="00792C48">
      <w:pPr>
        <w:spacing w:line="480" w:lineRule="auto"/>
        <w:ind w:left="360" w:firstLine="360"/>
        <w:rPr>
          <w:rFonts w:eastAsia="Times New Roman"/>
          <w:color w:val="000000" w:themeColor="text1"/>
        </w:rPr>
      </w:pPr>
    </w:p>
    <w:p w14:paraId="5123685E" w14:textId="1A6A23E8" w:rsidR="00742C4F" w:rsidRPr="0069101B" w:rsidRDefault="00742C4F" w:rsidP="001A1BFE">
      <w:pPr>
        <w:pStyle w:val="ListParagraph"/>
        <w:numPr>
          <w:ilvl w:val="0"/>
          <w:numId w:val="14"/>
        </w:numPr>
        <w:spacing w:line="480" w:lineRule="auto"/>
        <w:rPr>
          <w:rFonts w:ascii="Times New Roman" w:hAnsi="Times New Roman" w:cs="Times New Roman"/>
          <w:b/>
          <w:sz w:val="24"/>
          <w:szCs w:val="24"/>
        </w:rPr>
      </w:pPr>
      <w:r w:rsidRPr="0069101B">
        <w:rPr>
          <w:rFonts w:ascii="Times New Roman" w:hAnsi="Times New Roman" w:cs="Times New Roman"/>
          <w:b/>
          <w:sz w:val="24"/>
          <w:szCs w:val="24"/>
        </w:rPr>
        <w:t>Courtroom Environment Accommodations</w:t>
      </w:r>
    </w:p>
    <w:p w14:paraId="74802DA0" w14:textId="4B52BF0E" w:rsidR="001A1BFE" w:rsidRPr="007F7AEB" w:rsidRDefault="0069101B" w:rsidP="00B170BB">
      <w:pPr>
        <w:spacing w:line="480" w:lineRule="auto"/>
      </w:pPr>
      <w:r>
        <w:t xml:space="preserve"> </w:t>
      </w:r>
      <w:r>
        <w:tab/>
      </w:r>
      <w:r w:rsidR="00742C4F" w:rsidRPr="007F7AEB">
        <w:t xml:space="preserve">As the Executive Office of Immigration Review (EOIR) has acknowledged in the context of </w:t>
      </w:r>
      <w:r w:rsidR="003943AD" w:rsidRPr="007F7AEB">
        <w:t xml:space="preserve">unaccompanied minors, members of vulnerable populations such as </w:t>
      </w:r>
      <w:r w:rsidR="003943AD" w:rsidRPr="006A50EF">
        <w:rPr>
          <w:highlight w:val="yellow"/>
        </w:rPr>
        <w:t>CLIENT</w:t>
      </w:r>
      <w:r w:rsidR="003943AD" w:rsidRPr="007F7AEB">
        <w:t xml:space="preserve"> benefit greatly from accommodations to the courtroom environment. In its guidelines for accommodations for unaccompanied minors, EOIR noted that such modifications “need not </w:t>
      </w:r>
      <w:r w:rsidR="00376C6F" w:rsidRPr="007F7AEB">
        <w:t xml:space="preserve">alter the serious nature of the proceedings,” but can actually help foster an atmosphere in which a person is better able to present a claim and participate more fully in the proceedings. </w:t>
      </w:r>
      <w:r w:rsidR="00376C6F" w:rsidRPr="007F7AEB">
        <w:rPr>
          <w:i/>
        </w:rPr>
        <w:t>See</w:t>
      </w:r>
      <w:r w:rsidR="00711703">
        <w:rPr>
          <w:i/>
        </w:rPr>
        <w:t xml:space="preserve"> </w:t>
      </w:r>
      <w:r w:rsidR="00024504">
        <w:t xml:space="preserve">Memorandum to All Immigration Judges et al., from </w:t>
      </w:r>
      <w:r w:rsidR="00024504" w:rsidRPr="004C4C78">
        <w:t>David L. Neal, Chief Immigration Judge</w:t>
      </w:r>
      <w:r w:rsidR="00024504">
        <w:t xml:space="preserve">, </w:t>
      </w:r>
      <w:r w:rsidR="00024504" w:rsidRPr="00E251E6">
        <w:rPr>
          <w:i/>
        </w:rPr>
        <w:t>Operating Policies and Procedures Memorandum 07-01: Guidelines for Immigration Court Cases Involving Unaccompanied Alien Children</w:t>
      </w:r>
      <w:r w:rsidR="00024504" w:rsidRPr="004C4C78">
        <w:t xml:space="preserve">, </w:t>
      </w:r>
      <w:r w:rsidR="00024504">
        <w:t>May 22, 2007, at 5</w:t>
      </w:r>
      <w:r w:rsidR="005131A4" w:rsidRPr="007F7AEB">
        <w:t xml:space="preserve">. </w:t>
      </w:r>
      <w:r w:rsidR="000E71E3" w:rsidRPr="007F7AEB">
        <w:t>Many of the recommendations for unaccompanied minors are readily applicable to adults with cognitive or intellectual disabilities.</w:t>
      </w:r>
      <w:r w:rsidR="00CC16ED">
        <w:t xml:space="preserve"> </w:t>
      </w:r>
      <w:r w:rsidR="00812712" w:rsidRPr="00503DFD">
        <w:t xml:space="preserve">These accommodations </w:t>
      </w:r>
      <w:proofErr w:type="gramStart"/>
      <w:r w:rsidR="00812712" w:rsidRPr="00503DFD">
        <w:t>include:</w:t>
      </w:r>
      <w:proofErr w:type="gramEnd"/>
      <w:r w:rsidR="00812712" w:rsidRPr="00503DFD">
        <w:t xml:space="preserve"> closing courtrooms, scheduling hearings consonant with </w:t>
      </w:r>
      <w:r w:rsidR="00812712" w:rsidRPr="00503DFD">
        <w:lastRenderedPageBreak/>
        <w:t>medication schedules or first on the docket</w:t>
      </w:r>
      <w:r w:rsidR="00812712">
        <w:t xml:space="preserve">, removing robes and conducting hearings in separate rooms, and/or unshackling </w:t>
      </w:r>
      <w:r w:rsidR="00812712" w:rsidRPr="004821DE">
        <w:rPr>
          <w:highlight w:val="yellow"/>
        </w:rPr>
        <w:t>CLIENT</w:t>
      </w:r>
      <w:r w:rsidR="00812712">
        <w:t xml:space="preserve"> in the courtroom</w:t>
      </w:r>
      <w:r w:rsidR="002603D5">
        <w:t xml:space="preserve">. </w:t>
      </w:r>
    </w:p>
    <w:p w14:paraId="2DF2BDF0" w14:textId="77777777" w:rsidR="00406DBB" w:rsidRPr="007F7AEB" w:rsidRDefault="00406DBB" w:rsidP="00B170BB">
      <w:pPr>
        <w:pStyle w:val="ListParagraph"/>
        <w:numPr>
          <w:ilvl w:val="0"/>
          <w:numId w:val="3"/>
        </w:numPr>
        <w:spacing w:line="480" w:lineRule="auto"/>
        <w:rPr>
          <w:rFonts w:ascii="Times New Roman" w:hAnsi="Times New Roman" w:cs="Times New Roman"/>
          <w:sz w:val="24"/>
          <w:szCs w:val="24"/>
        </w:rPr>
      </w:pPr>
      <w:r w:rsidRPr="007F7AEB">
        <w:rPr>
          <w:rFonts w:ascii="Times New Roman" w:hAnsi="Times New Roman" w:cs="Times New Roman"/>
          <w:b/>
          <w:sz w:val="24"/>
          <w:szCs w:val="24"/>
        </w:rPr>
        <w:t xml:space="preserve">Closed </w:t>
      </w:r>
      <w:r w:rsidR="00994C28" w:rsidRPr="007F7AEB">
        <w:rPr>
          <w:rFonts w:ascii="Times New Roman" w:hAnsi="Times New Roman" w:cs="Times New Roman"/>
          <w:b/>
          <w:sz w:val="24"/>
          <w:szCs w:val="24"/>
        </w:rPr>
        <w:t>Courtrooms</w:t>
      </w:r>
    </w:p>
    <w:p w14:paraId="546D7B60" w14:textId="427D36E0" w:rsidR="00B665D0" w:rsidRDefault="00812712" w:rsidP="00BA649D">
      <w:pPr>
        <w:spacing w:line="480" w:lineRule="auto"/>
        <w:ind w:left="360"/>
      </w:pPr>
      <w:r>
        <w:t xml:space="preserve">People with intellectual or cognitive disabilities can be </w:t>
      </w:r>
      <w:r w:rsidR="00406DBB" w:rsidRPr="007F7AEB">
        <w:t>very sensitive to their environments.</w:t>
      </w:r>
      <w:r w:rsidR="0038092D" w:rsidRPr="007F7AEB">
        <w:t xml:space="preserve"> </w:t>
      </w:r>
      <w:r>
        <w:rPr>
          <w:i/>
        </w:rPr>
        <w:t>See, e.g.</w:t>
      </w:r>
      <w:r>
        <w:t>,</w:t>
      </w:r>
      <w:r w:rsidR="00BA649D">
        <w:t xml:space="preserve"> James H. </w:t>
      </w:r>
      <w:proofErr w:type="spellStart"/>
      <w:r w:rsidR="00BA649D">
        <w:t>Rimmer</w:t>
      </w:r>
      <w:proofErr w:type="spellEnd"/>
      <w:r w:rsidR="00BA649D">
        <w:t xml:space="preserve"> &amp; Jennifer L. Rowland, </w:t>
      </w:r>
      <w:r w:rsidR="00675BA7">
        <w:rPr>
          <w:i/>
        </w:rPr>
        <w:t>Health Promoti</w:t>
      </w:r>
      <w:r w:rsidR="00BA649D">
        <w:rPr>
          <w:i/>
        </w:rPr>
        <w:t>on for People With Disabilit</w:t>
      </w:r>
      <w:r w:rsidR="00675BA7">
        <w:rPr>
          <w:i/>
        </w:rPr>
        <w:t>i</w:t>
      </w:r>
      <w:r w:rsidR="00BA649D">
        <w:rPr>
          <w:i/>
        </w:rPr>
        <w:t xml:space="preserve">es: Implications for </w:t>
      </w:r>
      <w:r w:rsidR="00675BA7">
        <w:rPr>
          <w:i/>
        </w:rPr>
        <w:t>Empowering the Person and Promot</w:t>
      </w:r>
      <w:r w:rsidR="00BA649D">
        <w:rPr>
          <w:i/>
        </w:rPr>
        <w:t>ing Disability-Friendly Environments</w:t>
      </w:r>
      <w:r w:rsidR="00BA649D">
        <w:t>, 2 Am. J. Lifestyle Medicine 409, 410 (2008)</w:t>
      </w:r>
      <w:r>
        <w:t xml:space="preserve"> </w:t>
      </w:r>
      <w:r w:rsidR="00BA649D">
        <w:t xml:space="preserve">(discussing the importance of eliminating environmental barriers for people with mental or physical impairments). </w:t>
      </w:r>
      <w:r w:rsidR="0038092D" w:rsidRPr="007F7AEB">
        <w:t xml:space="preserve">Closing the courtroom will not only protect </w:t>
      </w:r>
      <w:r w:rsidR="0038092D" w:rsidRPr="004821DE">
        <w:rPr>
          <w:highlight w:val="yellow"/>
        </w:rPr>
        <w:t>CLIENT’s</w:t>
      </w:r>
      <w:r w:rsidR="0038092D" w:rsidRPr="007F7AEB">
        <w:t xml:space="preserve"> privacy as sensitive issues may be discussed, but will reduce distractions from having other people in the courtroom that could </w:t>
      </w:r>
      <w:r w:rsidR="00961A78" w:rsidRPr="007F7AEB">
        <w:t xml:space="preserve">further inhibit </w:t>
      </w:r>
      <w:r w:rsidR="00961A78" w:rsidRPr="004821DE">
        <w:rPr>
          <w:highlight w:val="yellow"/>
        </w:rPr>
        <w:t>CLIENT’s</w:t>
      </w:r>
      <w:r w:rsidR="00961A78" w:rsidRPr="007F7AEB">
        <w:t xml:space="preserve"> ability to testify.</w:t>
      </w:r>
      <w:r w:rsidR="00BA649D">
        <w:t xml:space="preserve"> Such accommodations are</w:t>
      </w:r>
      <w:r w:rsidR="00787C32" w:rsidRPr="007F7AEB">
        <w:t xml:space="preserve"> also consistent with what immigration courts already do with unaccompanied minors.</w:t>
      </w:r>
      <w:r w:rsidR="009C1B99" w:rsidRPr="009C1B99">
        <w:t xml:space="preserve"> </w:t>
      </w:r>
      <w:r w:rsidR="009C1B99">
        <w:rPr>
          <w:i/>
        </w:rPr>
        <w:t xml:space="preserve">See </w:t>
      </w:r>
      <w:r w:rsidR="009C1B99">
        <w:t xml:space="preserve">Memorandum to All Immigration Judges et al., from </w:t>
      </w:r>
      <w:r w:rsidR="009C1B99" w:rsidRPr="004C4C78">
        <w:t>David L. Neal, Chief Immigration Judge</w:t>
      </w:r>
      <w:r w:rsidR="009C1B99">
        <w:t xml:space="preserve">, </w:t>
      </w:r>
      <w:r w:rsidR="009C1B99" w:rsidRPr="00E251E6">
        <w:rPr>
          <w:i/>
        </w:rPr>
        <w:t>Operating Policies and Procedures Memorandum 07-01: Guidelines for Immigration Court Cases Involving Unaccompanied Alien Children</w:t>
      </w:r>
      <w:r w:rsidR="009C1B99" w:rsidRPr="004C4C78">
        <w:t xml:space="preserve">, </w:t>
      </w:r>
      <w:r w:rsidR="009C1B99">
        <w:t>May 22, 2007, at 8</w:t>
      </w:r>
      <w:r w:rsidR="00787C32" w:rsidRPr="007F7AEB">
        <w:t xml:space="preserve">.  </w:t>
      </w:r>
    </w:p>
    <w:p w14:paraId="0722EDE4" w14:textId="77777777" w:rsidR="00B665D0" w:rsidRDefault="00B665D0" w:rsidP="00BA649D">
      <w:pPr>
        <w:spacing w:line="480" w:lineRule="auto"/>
        <w:ind w:left="360"/>
      </w:pPr>
    </w:p>
    <w:p w14:paraId="620CF966" w14:textId="77777777" w:rsidR="00787C32" w:rsidRPr="00B665D0" w:rsidRDefault="007562CF" w:rsidP="00B665D0">
      <w:pPr>
        <w:pStyle w:val="ListParagraph"/>
        <w:numPr>
          <w:ilvl w:val="0"/>
          <w:numId w:val="3"/>
        </w:numPr>
        <w:spacing w:line="480" w:lineRule="auto"/>
        <w:rPr>
          <w:rFonts w:ascii="Times New Roman" w:hAnsi="Times New Roman" w:cs="Times New Roman"/>
          <w:noProof/>
          <w:sz w:val="24"/>
          <w:szCs w:val="24"/>
        </w:rPr>
      </w:pPr>
      <w:r w:rsidRPr="00B665D0">
        <w:rPr>
          <w:rFonts w:ascii="Times New Roman" w:hAnsi="Times New Roman" w:cs="Times New Roman"/>
          <w:b/>
          <w:noProof/>
          <w:sz w:val="24"/>
          <w:szCs w:val="24"/>
        </w:rPr>
        <w:t xml:space="preserve">Scheduling of </w:t>
      </w:r>
      <w:r w:rsidRPr="006038CD">
        <w:rPr>
          <w:rFonts w:ascii="Times New Roman" w:hAnsi="Times New Roman" w:cs="Times New Roman"/>
          <w:b/>
          <w:noProof/>
          <w:sz w:val="24"/>
          <w:szCs w:val="24"/>
          <w:highlight w:val="yellow"/>
        </w:rPr>
        <w:t>CLIENT’s</w:t>
      </w:r>
      <w:r w:rsidRPr="00B665D0">
        <w:rPr>
          <w:rFonts w:ascii="Times New Roman" w:hAnsi="Times New Roman" w:cs="Times New Roman"/>
          <w:b/>
          <w:noProof/>
          <w:sz w:val="24"/>
          <w:szCs w:val="24"/>
        </w:rPr>
        <w:t xml:space="preserve"> case</w:t>
      </w:r>
      <w:r w:rsidR="006D2D07" w:rsidRPr="00B665D0">
        <w:rPr>
          <w:rFonts w:ascii="Times New Roman" w:hAnsi="Times New Roman" w:cs="Times New Roman"/>
          <w:b/>
          <w:noProof/>
          <w:sz w:val="24"/>
          <w:szCs w:val="24"/>
        </w:rPr>
        <w:t xml:space="preserve"> [if </w:t>
      </w:r>
      <w:r w:rsidR="006D2D07" w:rsidRPr="006038CD">
        <w:rPr>
          <w:rFonts w:ascii="Times New Roman" w:hAnsi="Times New Roman" w:cs="Times New Roman"/>
          <w:b/>
          <w:noProof/>
          <w:sz w:val="24"/>
          <w:szCs w:val="24"/>
          <w:highlight w:val="yellow"/>
        </w:rPr>
        <w:t>CLIENT</w:t>
      </w:r>
      <w:r w:rsidR="006D2D07" w:rsidRPr="00B665D0">
        <w:rPr>
          <w:rFonts w:ascii="Times New Roman" w:hAnsi="Times New Roman" w:cs="Times New Roman"/>
          <w:b/>
          <w:noProof/>
          <w:sz w:val="24"/>
          <w:szCs w:val="24"/>
        </w:rPr>
        <w:t xml:space="preserve"> takes medication]</w:t>
      </w:r>
    </w:p>
    <w:p w14:paraId="26C8B963" w14:textId="77777777" w:rsidR="00675BA7" w:rsidRPr="00503DFD" w:rsidRDefault="00675BA7" w:rsidP="00675BA7">
      <w:pPr>
        <w:spacing w:line="480" w:lineRule="auto"/>
        <w:ind w:left="270"/>
        <w:rPr>
          <w:noProof/>
        </w:rPr>
      </w:pPr>
      <w:r w:rsidRPr="006038CD">
        <w:rPr>
          <w:noProof/>
          <w:highlight w:val="yellow"/>
        </w:rPr>
        <w:t>CLIENT</w:t>
      </w:r>
      <w:r w:rsidRPr="00503DFD">
        <w:rPr>
          <w:noProof/>
        </w:rPr>
        <w:t xml:space="preserve"> takes medication that causes side effects that vary over the course of the day. In light of this fact, the Court should ensure that scheduling of </w:t>
      </w:r>
      <w:r w:rsidRPr="006038CD">
        <w:rPr>
          <w:noProof/>
          <w:highlight w:val="yellow"/>
        </w:rPr>
        <w:t>CLIENT’s</w:t>
      </w:r>
      <w:r w:rsidRPr="00503DFD">
        <w:rPr>
          <w:noProof/>
        </w:rPr>
        <w:t xml:space="preserve"> case is consistent with any medication schedule and might also consider scheduling </w:t>
      </w:r>
      <w:r w:rsidRPr="006038CD">
        <w:rPr>
          <w:noProof/>
          <w:highlight w:val="yellow"/>
        </w:rPr>
        <w:t>CLIENT</w:t>
      </w:r>
      <w:r w:rsidRPr="00503DFD">
        <w:rPr>
          <w:noProof/>
        </w:rPr>
        <w:t xml:space="preserve"> first on the docket so as to reduce the degree of agitation</w:t>
      </w:r>
      <w:r>
        <w:rPr>
          <w:noProof/>
        </w:rPr>
        <w:t xml:space="preserve">. </w:t>
      </w:r>
      <w:r w:rsidRPr="00675BA7">
        <w:rPr>
          <w:noProof/>
          <w:highlight w:val="yellow"/>
        </w:rPr>
        <w:t>[</w:t>
      </w:r>
      <w:r w:rsidRPr="00711703">
        <w:rPr>
          <w:i/>
          <w:noProof/>
          <w:highlight w:val="yellow"/>
        </w:rPr>
        <w:t>add more information here based on needs of CLIENT</w:t>
      </w:r>
      <w:r w:rsidRPr="00675BA7">
        <w:rPr>
          <w:noProof/>
          <w:highlight w:val="yellow"/>
        </w:rPr>
        <w:t>]</w:t>
      </w:r>
    </w:p>
    <w:p w14:paraId="7477D53F" w14:textId="2B1D59E2" w:rsidR="00AF2A0D" w:rsidRDefault="00AF2A0D" w:rsidP="00AF2A0D">
      <w:pPr>
        <w:spacing w:line="480" w:lineRule="auto"/>
        <w:rPr>
          <w:b/>
          <w:noProof/>
        </w:rPr>
      </w:pPr>
    </w:p>
    <w:p w14:paraId="31B620CC" w14:textId="17FC6B98" w:rsidR="00AF2A0D" w:rsidRPr="00AF2A0D" w:rsidRDefault="00AF2A0D" w:rsidP="00AF2A0D">
      <w:pPr>
        <w:spacing w:line="480" w:lineRule="auto"/>
        <w:rPr>
          <w:b/>
          <w:noProof/>
        </w:rPr>
      </w:pPr>
    </w:p>
    <w:p w14:paraId="7D7CE40D" w14:textId="43998B0A" w:rsidR="007D3616" w:rsidRPr="007D3616" w:rsidRDefault="007D3616" w:rsidP="007D3616">
      <w:pPr>
        <w:pStyle w:val="ListParagraph"/>
        <w:numPr>
          <w:ilvl w:val="0"/>
          <w:numId w:val="3"/>
        </w:numPr>
        <w:spacing w:line="480" w:lineRule="auto"/>
        <w:rPr>
          <w:rFonts w:ascii="Times New Roman" w:hAnsi="Times New Roman" w:cs="Times New Roman"/>
          <w:b/>
          <w:noProof/>
          <w:sz w:val="24"/>
          <w:szCs w:val="24"/>
        </w:rPr>
      </w:pPr>
      <w:r w:rsidRPr="007D3616">
        <w:rPr>
          <w:rFonts w:ascii="Times New Roman" w:hAnsi="Times New Roman" w:cs="Times New Roman"/>
          <w:b/>
          <w:noProof/>
          <w:sz w:val="24"/>
          <w:szCs w:val="24"/>
        </w:rPr>
        <w:lastRenderedPageBreak/>
        <w:t>Removing robes</w:t>
      </w:r>
    </w:p>
    <w:p w14:paraId="3B45C5CD" w14:textId="0A744DB5" w:rsidR="00675BA7" w:rsidRDefault="00675BA7" w:rsidP="00675BA7">
      <w:pPr>
        <w:spacing w:line="480" w:lineRule="auto"/>
        <w:ind w:left="270"/>
      </w:pPr>
      <w:r>
        <w:rPr>
          <w:noProof/>
        </w:rPr>
        <w:t xml:space="preserve">Clothing has the power to shape and influence our perceptions and behavior. </w:t>
      </w:r>
      <w:r w:rsidRPr="00675BA7">
        <w:rPr>
          <w:i/>
          <w:noProof/>
        </w:rPr>
        <w:t xml:space="preserve">See </w:t>
      </w:r>
      <w:r>
        <w:rPr>
          <w:noProof/>
        </w:rPr>
        <w:t xml:space="preserve">Hajo Adam &amp; Adam D. Galinksy, </w:t>
      </w:r>
      <w:r w:rsidRPr="00675BA7">
        <w:rPr>
          <w:i/>
          <w:noProof/>
        </w:rPr>
        <w:t>Enclothed Cognition</w:t>
      </w:r>
      <w:r>
        <w:rPr>
          <w:noProof/>
        </w:rPr>
        <w:t xml:space="preserve">, 48 J. Experimental Soc. Pscyhol. 918 (2012) (describing results of experiments where people wearing a lab coat </w:t>
      </w:r>
      <w:r w:rsidR="0026793B">
        <w:rPr>
          <w:noProof/>
        </w:rPr>
        <w:t>tha</w:t>
      </w:r>
      <w:r w:rsidR="00AF2A0D">
        <w:rPr>
          <w:noProof/>
        </w:rPr>
        <w:t>t</w:t>
      </w:r>
      <w:r w:rsidR="0026793B">
        <w:rPr>
          <w:noProof/>
        </w:rPr>
        <w:t xml:space="preserve"> they were </w:t>
      </w:r>
      <w:r>
        <w:rPr>
          <w:noProof/>
        </w:rPr>
        <w:t xml:space="preserve">told </w:t>
      </w:r>
      <w:r w:rsidR="0026793B">
        <w:rPr>
          <w:noProof/>
        </w:rPr>
        <w:t>was</w:t>
      </w:r>
      <w:r>
        <w:rPr>
          <w:noProof/>
        </w:rPr>
        <w:t xml:space="preserve"> a doctor’s coat performed better on tasks requiring attention to detail). </w:t>
      </w:r>
      <w:r w:rsidRPr="00503DFD">
        <w:rPr>
          <w:noProof/>
        </w:rPr>
        <w:t>A judge’s robe is a symbol of independence and authority</w:t>
      </w:r>
      <w:r>
        <w:rPr>
          <w:noProof/>
        </w:rPr>
        <w:t xml:space="preserve">. </w:t>
      </w:r>
      <w:r w:rsidRPr="00675BA7">
        <w:rPr>
          <w:i/>
          <w:noProof/>
        </w:rPr>
        <w:t xml:space="preserve">See </w:t>
      </w:r>
      <w:r w:rsidRPr="00077A08">
        <w:rPr>
          <w:i/>
          <w:noProof/>
        </w:rPr>
        <w:t>Jenevein v. Willing</w:t>
      </w:r>
      <w:r>
        <w:rPr>
          <w:noProof/>
        </w:rPr>
        <w:t xml:space="preserve">, 439 F.3d 551, 560 </w:t>
      </w:r>
      <w:r w:rsidR="00077A08">
        <w:rPr>
          <w:noProof/>
        </w:rPr>
        <w:t xml:space="preserve">(5th Cir. 2007) </w:t>
      </w:r>
      <w:r>
        <w:rPr>
          <w:noProof/>
        </w:rPr>
        <w:t xml:space="preserve">(describing judge’s robe as setting aside the “judge’s individuality and passions.”). </w:t>
      </w:r>
      <w:r w:rsidRPr="00503DFD">
        <w:rPr>
          <w:noProof/>
        </w:rPr>
        <w:t xml:space="preserve"> </w:t>
      </w:r>
      <w:r>
        <w:rPr>
          <w:noProof/>
        </w:rPr>
        <w:t xml:space="preserve">But a judge’s robe can also be intimidating and retraumatizing for a person with a mental health disability. When working with children, many courts, including immigration courts, are cognizant of the dual nature of the judge’s robe, and recommend removing the robe, and if possible, operating in a separate room in order to make respondent more comfortable. </w:t>
      </w:r>
      <w:r w:rsidRPr="00675BA7">
        <w:rPr>
          <w:i/>
          <w:noProof/>
        </w:rPr>
        <w:t>See, e.g.,</w:t>
      </w:r>
      <w:r w:rsidRPr="00503DFD">
        <w:rPr>
          <w:noProof/>
        </w:rPr>
        <w:t xml:space="preserve"> </w:t>
      </w:r>
      <w:r w:rsidR="00266988">
        <w:t xml:space="preserve">Memorandum to All Immigration Judges et al., from </w:t>
      </w:r>
      <w:r w:rsidR="00266988" w:rsidRPr="004C4C78">
        <w:t>David L. Neal, Chief Immigration Judge</w:t>
      </w:r>
      <w:r w:rsidR="00266988">
        <w:t xml:space="preserve">, </w:t>
      </w:r>
      <w:r w:rsidR="00266988" w:rsidRPr="00E251E6">
        <w:rPr>
          <w:i/>
        </w:rPr>
        <w:t>Operating Policies and Procedures Memorandum 07-01: Guidelines for Immigration Court Cases Involving Unaccompanied Alien Children</w:t>
      </w:r>
      <w:r w:rsidR="00266988" w:rsidRPr="004C4C78">
        <w:t xml:space="preserve">, </w:t>
      </w:r>
      <w:r w:rsidR="00266988">
        <w:t>May 22, 2007, at 8</w:t>
      </w:r>
      <w:r>
        <w:t xml:space="preserve">. The same justifications for removing robes when working with children also apply to adults with </w:t>
      </w:r>
      <w:r w:rsidR="00FA0872">
        <w:t xml:space="preserve">cognitive limitations. A simple gesture like removing one’s robe could play an important role in reducing </w:t>
      </w:r>
      <w:r w:rsidR="00FA0872" w:rsidRPr="00174B89">
        <w:rPr>
          <w:highlight w:val="yellow"/>
        </w:rPr>
        <w:t>CLIENT’s</w:t>
      </w:r>
      <w:r w:rsidR="00FA0872">
        <w:t xml:space="preserve"> agitation. </w:t>
      </w:r>
    </w:p>
    <w:p w14:paraId="7EC225B5" w14:textId="77777777" w:rsidR="00675BA7" w:rsidRDefault="00675BA7" w:rsidP="00675BA7">
      <w:pPr>
        <w:spacing w:line="480" w:lineRule="auto"/>
      </w:pPr>
    </w:p>
    <w:p w14:paraId="792D8198" w14:textId="77777777" w:rsidR="000C7AD3" w:rsidRPr="00675BA7" w:rsidRDefault="000C7AD3" w:rsidP="00675BA7">
      <w:pPr>
        <w:pStyle w:val="ListParagraph"/>
        <w:numPr>
          <w:ilvl w:val="0"/>
          <w:numId w:val="3"/>
        </w:numPr>
        <w:spacing w:line="480" w:lineRule="auto"/>
        <w:rPr>
          <w:rFonts w:ascii="Times New Roman" w:hAnsi="Times New Roman" w:cs="Times New Roman"/>
          <w:sz w:val="24"/>
          <w:szCs w:val="24"/>
        </w:rPr>
      </w:pPr>
      <w:r w:rsidRPr="00675BA7">
        <w:rPr>
          <w:rFonts w:ascii="Times New Roman" w:hAnsi="Times New Roman" w:cs="Times New Roman"/>
          <w:b/>
          <w:noProof/>
          <w:sz w:val="24"/>
          <w:szCs w:val="24"/>
        </w:rPr>
        <w:t xml:space="preserve">Unshackling </w:t>
      </w:r>
      <w:r w:rsidRPr="00DB6707">
        <w:rPr>
          <w:rFonts w:ascii="Times New Roman" w:hAnsi="Times New Roman" w:cs="Times New Roman"/>
          <w:b/>
          <w:noProof/>
          <w:sz w:val="24"/>
          <w:szCs w:val="24"/>
          <w:highlight w:val="yellow"/>
        </w:rPr>
        <w:t>CLIENT</w:t>
      </w:r>
      <w:r w:rsidRPr="00675BA7">
        <w:rPr>
          <w:rFonts w:ascii="Times New Roman" w:hAnsi="Times New Roman" w:cs="Times New Roman"/>
          <w:b/>
          <w:noProof/>
          <w:sz w:val="24"/>
          <w:szCs w:val="24"/>
        </w:rPr>
        <w:t xml:space="preserve"> (if detained)</w:t>
      </w:r>
    </w:p>
    <w:p w14:paraId="61D19356" w14:textId="3D59D98D" w:rsidR="00216E90" w:rsidRDefault="00216E90" w:rsidP="001A1BFE">
      <w:pPr>
        <w:spacing w:line="480" w:lineRule="auto"/>
        <w:ind w:firstLine="270"/>
        <w:rPr>
          <w:noProof/>
        </w:rPr>
      </w:pPr>
      <w:r>
        <w:rPr>
          <w:noProof/>
        </w:rPr>
        <w:t xml:space="preserve">Shackling of parties in civil or criminal trials is disfavored absent a specific finding that such restraints are necessary. </w:t>
      </w:r>
      <w:r w:rsidRPr="00216E90">
        <w:rPr>
          <w:i/>
          <w:noProof/>
        </w:rPr>
        <w:t xml:space="preserve">See </w:t>
      </w:r>
      <w:r w:rsidRPr="00DB6707">
        <w:rPr>
          <w:i/>
          <w:noProof/>
        </w:rPr>
        <w:t>Deck v. Missouri</w:t>
      </w:r>
      <w:r>
        <w:rPr>
          <w:noProof/>
        </w:rPr>
        <w:t xml:space="preserve">, 544 U.S. 622 (2005);  </w:t>
      </w:r>
      <w:r w:rsidRPr="00096E65">
        <w:rPr>
          <w:i/>
          <w:noProof/>
        </w:rPr>
        <w:t>Davidson v. Riley</w:t>
      </w:r>
      <w:r>
        <w:rPr>
          <w:noProof/>
        </w:rPr>
        <w:t xml:space="preserve">, 44 F.3d 1118 (2d Cir. 1995). This rule has longstanding roots in common law. </w:t>
      </w:r>
      <w:r w:rsidRPr="00216E90">
        <w:rPr>
          <w:i/>
          <w:noProof/>
        </w:rPr>
        <w:t>See</w:t>
      </w:r>
      <w:r>
        <w:rPr>
          <w:noProof/>
        </w:rPr>
        <w:t xml:space="preserve"> </w:t>
      </w:r>
      <w:r w:rsidRPr="00AB6FC4">
        <w:rPr>
          <w:i/>
          <w:noProof/>
        </w:rPr>
        <w:t>Deck</w:t>
      </w:r>
      <w:r>
        <w:rPr>
          <w:noProof/>
        </w:rPr>
        <w:t>, 544 U.S.</w:t>
      </w:r>
      <w:r w:rsidR="00AB6FC4">
        <w:rPr>
          <w:noProof/>
        </w:rPr>
        <w:t xml:space="preserve"> at 626–27. There are two primary justifications for the rule. </w:t>
      </w:r>
      <w:r w:rsidR="000F41F4">
        <w:rPr>
          <w:noProof/>
        </w:rPr>
        <w:t xml:space="preserve">The first justification is so that </w:t>
      </w:r>
      <w:r w:rsidR="007860C5">
        <w:rPr>
          <w:noProof/>
        </w:rPr>
        <w:t xml:space="preserve">the </w:t>
      </w:r>
      <w:r w:rsidR="007860C5">
        <w:rPr>
          <w:noProof/>
        </w:rPr>
        <w:lastRenderedPageBreak/>
        <w:t>defendant’s</w:t>
      </w:r>
      <w:r>
        <w:rPr>
          <w:noProof/>
        </w:rPr>
        <w:t xml:space="preserve"> mental and cognitive faculties will not diminish in light of the pain or discomfort they may feel while in restraints. </w:t>
      </w:r>
      <w:r w:rsidRPr="00216E90">
        <w:rPr>
          <w:i/>
          <w:noProof/>
        </w:rPr>
        <w:t>Id</w:t>
      </w:r>
      <w:r>
        <w:rPr>
          <w:noProof/>
        </w:rPr>
        <w:t>. (internal citations omitted) (explaining that defendants should not be constrainted “ so that their pain shall not take away any manner of reason” and allow them to testify with “free will”).  There is abundant social science literature demonstrating the deleterious effects</w:t>
      </w:r>
      <w:r w:rsidR="007860C5">
        <w:rPr>
          <w:noProof/>
        </w:rPr>
        <w:t xml:space="preserve"> of physical restraints in other contexts</w:t>
      </w:r>
      <w:r>
        <w:rPr>
          <w:noProof/>
        </w:rPr>
        <w:t xml:space="preserve">. </w:t>
      </w:r>
      <w:r w:rsidRPr="00216E90">
        <w:rPr>
          <w:i/>
          <w:noProof/>
        </w:rPr>
        <w:t xml:space="preserve">See, e.g., </w:t>
      </w:r>
      <w:r>
        <w:rPr>
          <w:noProof/>
        </w:rPr>
        <w:t>Nicholas G. Castle,</w:t>
      </w:r>
      <w:r w:rsidRPr="00216E90">
        <w:rPr>
          <w:i/>
          <w:noProof/>
        </w:rPr>
        <w:t xml:space="preserve"> Mental Health Outcomes and Physical Restraint Use in Nursing Homes</w:t>
      </w:r>
      <w:r>
        <w:rPr>
          <w:noProof/>
        </w:rPr>
        <w:t xml:space="preserve">, 33 Admin. Pol’y Mental Health &amp; Mental Health Servs. Res. 696 (2004) (showing that nursing home residents subject to physical restraints are more likely to suffer from cognitive impairment and depression).  This is no less true in the immigration context. </w:t>
      </w:r>
      <w:r w:rsidRPr="00216E90">
        <w:rPr>
          <w:i/>
          <w:noProof/>
        </w:rPr>
        <w:t xml:space="preserve">See </w:t>
      </w:r>
      <w:r>
        <w:rPr>
          <w:noProof/>
        </w:rPr>
        <w:t>Complaint</w:t>
      </w:r>
      <w:r w:rsidR="00344BD3">
        <w:rPr>
          <w:noProof/>
        </w:rPr>
        <w:t xml:space="preserve"> at 5 </w:t>
      </w:r>
      <w:r>
        <w:rPr>
          <w:noProof/>
        </w:rPr>
        <w:t xml:space="preserve">, </w:t>
      </w:r>
      <w:r w:rsidRPr="00344BD3">
        <w:rPr>
          <w:i/>
          <w:noProof/>
        </w:rPr>
        <w:t>Abado-Peixoto v. Dep’t of Homeland Security</w:t>
      </w:r>
      <w:r>
        <w:rPr>
          <w:noProof/>
        </w:rPr>
        <w:t xml:space="preserve">, No. CV-11-1001,  (N.D. Cal. 2011) (describing swollen legs and mental retraumatization of a domestic violence survivor who was shackled during her immigration proceedings). </w:t>
      </w:r>
    </w:p>
    <w:p w14:paraId="400E3278" w14:textId="7B5C7740" w:rsidR="00216E90" w:rsidRPr="006637CD" w:rsidRDefault="004674BB" w:rsidP="00216E90">
      <w:pPr>
        <w:spacing w:line="480" w:lineRule="auto"/>
        <w:ind w:firstLine="630"/>
        <w:rPr>
          <w:noProof/>
        </w:rPr>
      </w:pPr>
      <w:r>
        <w:rPr>
          <w:noProof/>
        </w:rPr>
        <w:t>The second justification for the rule against physical restraints is the</w:t>
      </w:r>
      <w:r w:rsidR="00216E90">
        <w:rPr>
          <w:noProof/>
        </w:rPr>
        <w:t xml:space="preserve"> </w:t>
      </w:r>
      <w:r w:rsidR="00266988">
        <w:rPr>
          <w:noProof/>
        </w:rPr>
        <w:t xml:space="preserve">prejudicial </w:t>
      </w:r>
      <w:r w:rsidR="00216E90">
        <w:rPr>
          <w:noProof/>
        </w:rPr>
        <w:t xml:space="preserve">effect use of visible restraints has on the factfinder, the judge. Both the Supreme Court and the Second Circuit recognize that visible schackles can have a prejudicial effect on the proceedings. </w:t>
      </w:r>
      <w:r w:rsidR="00216E90" w:rsidRPr="00216E90">
        <w:rPr>
          <w:i/>
          <w:noProof/>
        </w:rPr>
        <w:t>See Holbrook v. Flynn</w:t>
      </w:r>
      <w:r w:rsidR="00216E90">
        <w:rPr>
          <w:noProof/>
        </w:rPr>
        <w:t xml:space="preserve">, 475 U.S. 560, 569 (1986) (describing shackles as as “inherently prejudicial”); </w:t>
      </w:r>
      <w:r w:rsidR="00216E90" w:rsidRPr="00216E90">
        <w:rPr>
          <w:i/>
          <w:noProof/>
        </w:rPr>
        <w:t>Davidson v. Riley</w:t>
      </w:r>
      <w:r w:rsidR="00216E90">
        <w:rPr>
          <w:noProof/>
        </w:rPr>
        <w:t xml:space="preserve">, 44 F.3d 1118, 1122 (2d Cir. 1995) (“Forcing a party to appear at jury trial in manacles and others shcakles may well deprive him of due process . . . ).   In both civil and criminal courts, judges permit the use of restraints on a witness or litigant after an </w:t>
      </w:r>
      <w:r w:rsidR="00216E90" w:rsidRPr="00216E90">
        <w:rPr>
          <w:i/>
          <w:noProof/>
        </w:rPr>
        <w:t>individualized</w:t>
      </w:r>
      <w:r w:rsidR="00216E90">
        <w:rPr>
          <w:noProof/>
        </w:rPr>
        <w:t xml:space="preserve"> determination that the witness or litigant requires the use of such restraints. </w:t>
      </w:r>
      <w:r w:rsidR="00216E90" w:rsidRPr="00216E90">
        <w:rPr>
          <w:i/>
          <w:noProof/>
        </w:rPr>
        <w:t>See Davidson</w:t>
      </w:r>
      <w:r w:rsidR="001325F8">
        <w:rPr>
          <w:noProof/>
        </w:rPr>
        <w:t>, 44 F.3d</w:t>
      </w:r>
      <w:r w:rsidR="00216E90">
        <w:rPr>
          <w:noProof/>
        </w:rPr>
        <w:t xml:space="preserve"> at 1122. Immigration courts are also beginning to recognize the importance of an individualized determination as a matter of due process. In 2014, the Department of Homeland Security signed a settlement agreement agreeing not to shackle immigration respondents during </w:t>
      </w:r>
      <w:r w:rsidR="00216E90">
        <w:rPr>
          <w:noProof/>
        </w:rPr>
        <w:lastRenderedPageBreak/>
        <w:t xml:space="preserve">bond and merits hearings absent specific findings of danger, and to allow for respondents to be unrestrained during master calendar hearings if they indicate that they suffer from a health condition (including mental health conditions) that would make use of restraints inhuman. </w:t>
      </w:r>
      <w:r w:rsidR="00216E90" w:rsidRPr="00216E90">
        <w:rPr>
          <w:i/>
          <w:noProof/>
        </w:rPr>
        <w:t xml:space="preserve">See </w:t>
      </w:r>
      <w:r w:rsidR="00216E90" w:rsidRPr="001325F8">
        <w:rPr>
          <w:noProof/>
        </w:rPr>
        <w:t>Notice of Proposed Class Action Settlement</w:t>
      </w:r>
      <w:r w:rsidR="00216E90">
        <w:rPr>
          <w:noProof/>
        </w:rPr>
        <w:t xml:space="preserve">, </w:t>
      </w:r>
      <w:r w:rsidR="001325F8" w:rsidRPr="001325F8">
        <w:rPr>
          <w:i/>
          <w:noProof/>
        </w:rPr>
        <w:t>Abadia-Peixoto v. U.S. Dep’t Homeland Sec’y</w:t>
      </w:r>
      <w:r w:rsidR="001325F8">
        <w:rPr>
          <w:noProof/>
        </w:rPr>
        <w:t xml:space="preserve">, </w:t>
      </w:r>
      <w:r w:rsidR="00216E90">
        <w:rPr>
          <w:noProof/>
        </w:rPr>
        <w:t>No. 3:11-cv-4001 RS, 3</w:t>
      </w:r>
      <w:r w:rsidR="00216E90">
        <w:rPr>
          <w:noProof/>
        </w:rPr>
        <w:softHyphen/>
        <w:t>–4 (N. D. Cal. 2014).</w:t>
      </w:r>
    </w:p>
    <w:p w14:paraId="7BB2F278" w14:textId="3619480D" w:rsidR="00216E90" w:rsidRPr="00503DFD" w:rsidRDefault="00216E90" w:rsidP="00216E90">
      <w:pPr>
        <w:spacing w:line="480" w:lineRule="auto"/>
        <w:ind w:firstLine="360"/>
        <w:rPr>
          <w:noProof/>
        </w:rPr>
      </w:pPr>
      <w:r>
        <w:rPr>
          <w:noProof/>
        </w:rPr>
        <w:t xml:space="preserve">For people such as </w:t>
      </w:r>
      <w:r w:rsidRPr="001325F8">
        <w:rPr>
          <w:noProof/>
          <w:highlight w:val="yellow"/>
        </w:rPr>
        <w:t>CLIENT</w:t>
      </w:r>
      <w:r w:rsidR="001B0796">
        <w:rPr>
          <w:noProof/>
        </w:rPr>
        <w:t xml:space="preserve">,  shackling only exacerabates </w:t>
      </w:r>
      <w:r w:rsidR="001B0796" w:rsidRPr="001B0796">
        <w:rPr>
          <w:noProof/>
          <w:highlight w:val="yellow"/>
        </w:rPr>
        <w:t>[his/her]</w:t>
      </w:r>
      <w:r w:rsidR="001B0796">
        <w:rPr>
          <w:noProof/>
        </w:rPr>
        <w:t xml:space="preserve"> a</w:t>
      </w:r>
      <w:r>
        <w:rPr>
          <w:noProof/>
        </w:rPr>
        <w:t>nxiety and may fu</w:t>
      </w:r>
      <w:r w:rsidR="000266CE">
        <w:rPr>
          <w:noProof/>
        </w:rPr>
        <w:t xml:space="preserve">rther debilitate their limited </w:t>
      </w:r>
      <w:r>
        <w:rPr>
          <w:noProof/>
        </w:rPr>
        <w:t xml:space="preserve">cogntive functioning. The Court should follow </w:t>
      </w:r>
      <w:r w:rsidR="001B0796">
        <w:rPr>
          <w:noProof/>
        </w:rPr>
        <w:t xml:space="preserve">the </w:t>
      </w:r>
      <w:r>
        <w:rPr>
          <w:noProof/>
        </w:rPr>
        <w:t xml:space="preserve">protocol </w:t>
      </w:r>
      <w:r w:rsidR="001B0796">
        <w:rPr>
          <w:noProof/>
        </w:rPr>
        <w:t xml:space="preserve">already used </w:t>
      </w:r>
      <w:r>
        <w:rPr>
          <w:noProof/>
        </w:rPr>
        <w:t>in both civil and criminal court and not permit shackling in courts absent a particularized, individualized determination that such restraints are necessary.</w:t>
      </w:r>
    </w:p>
    <w:p w14:paraId="1B0CCD5F" w14:textId="086573F0" w:rsidR="0060013B" w:rsidRPr="00A75E0F" w:rsidRDefault="0060013B" w:rsidP="008D7D0D">
      <w:pPr>
        <w:pStyle w:val="ListParagraph"/>
        <w:numPr>
          <w:ilvl w:val="0"/>
          <w:numId w:val="16"/>
        </w:numPr>
        <w:spacing w:line="480" w:lineRule="auto"/>
        <w:rPr>
          <w:rFonts w:ascii="Times New Roman" w:hAnsi="Times New Roman" w:cs="Times New Roman"/>
          <w:b/>
          <w:sz w:val="24"/>
          <w:szCs w:val="24"/>
        </w:rPr>
      </w:pPr>
      <w:r w:rsidRPr="00F979B6">
        <w:rPr>
          <w:rFonts w:ascii="Times New Roman" w:hAnsi="Times New Roman" w:cs="Times New Roman"/>
          <w:b/>
          <w:sz w:val="24"/>
          <w:szCs w:val="24"/>
        </w:rPr>
        <w:t xml:space="preserve">When Evaluating </w:t>
      </w:r>
      <w:r w:rsidRPr="002F6C93">
        <w:rPr>
          <w:rFonts w:ascii="Times New Roman" w:hAnsi="Times New Roman" w:cs="Times New Roman"/>
          <w:b/>
          <w:sz w:val="24"/>
          <w:szCs w:val="24"/>
          <w:highlight w:val="yellow"/>
        </w:rPr>
        <w:t>CLIENT’s</w:t>
      </w:r>
      <w:r w:rsidRPr="00F979B6">
        <w:rPr>
          <w:rFonts w:ascii="Times New Roman" w:hAnsi="Times New Roman" w:cs="Times New Roman"/>
          <w:b/>
          <w:sz w:val="24"/>
          <w:szCs w:val="24"/>
        </w:rPr>
        <w:t xml:space="preserve"> Testimony as a Whole for Credibility and Other Discretionary Determinations, the Court Must Consider </w:t>
      </w:r>
      <w:r w:rsidRPr="002F6C93">
        <w:rPr>
          <w:rFonts w:ascii="Times New Roman" w:hAnsi="Times New Roman" w:cs="Times New Roman"/>
          <w:b/>
          <w:sz w:val="24"/>
          <w:szCs w:val="24"/>
          <w:highlight w:val="yellow"/>
        </w:rPr>
        <w:t>CLIENT’s</w:t>
      </w:r>
      <w:r w:rsidRPr="00F979B6">
        <w:rPr>
          <w:rFonts w:ascii="Times New Roman" w:hAnsi="Times New Roman" w:cs="Times New Roman"/>
          <w:b/>
          <w:sz w:val="24"/>
          <w:szCs w:val="24"/>
        </w:rPr>
        <w:t xml:space="preserve"> Mental Health Limitations</w:t>
      </w:r>
    </w:p>
    <w:p w14:paraId="552F7F04" w14:textId="77777777" w:rsidR="0060013B" w:rsidRDefault="0060013B" w:rsidP="0060013B">
      <w:pPr>
        <w:spacing w:line="480" w:lineRule="auto"/>
        <w:ind w:left="360" w:firstLine="360"/>
      </w:pPr>
      <w:r>
        <w:t xml:space="preserve">When assessing </w:t>
      </w:r>
      <w:r w:rsidRPr="002F6C93">
        <w:rPr>
          <w:highlight w:val="yellow"/>
        </w:rPr>
        <w:t>CLIENT’s</w:t>
      </w:r>
      <w:r>
        <w:t xml:space="preserve"> testimony, the Court must consider </w:t>
      </w:r>
      <w:r w:rsidRPr="002F6C93">
        <w:rPr>
          <w:highlight w:val="yellow"/>
        </w:rPr>
        <w:t>CLIENT’s</w:t>
      </w:r>
      <w:r>
        <w:t xml:space="preserve"> cognitive or intellectual disabilities in its assessments. This includes factoring </w:t>
      </w:r>
      <w:r w:rsidRPr="002F6C93">
        <w:rPr>
          <w:highlight w:val="yellow"/>
        </w:rPr>
        <w:t>CLIENT’s</w:t>
      </w:r>
      <w:r>
        <w:t xml:space="preserve"> mental health conditions in the Court’s “totality of the circumstances” analysis, and taking into account </w:t>
      </w:r>
      <w:r w:rsidRPr="002F6C93">
        <w:rPr>
          <w:highlight w:val="yellow"/>
        </w:rPr>
        <w:t>CLIENT’s</w:t>
      </w:r>
      <w:r>
        <w:t xml:space="preserve"> mental health conditions when assessing discretionary factors like </w:t>
      </w:r>
      <w:r w:rsidRPr="002F6C93">
        <w:rPr>
          <w:highlight w:val="yellow"/>
        </w:rPr>
        <w:t>CLIENT’s</w:t>
      </w:r>
      <w:r>
        <w:t xml:space="preserve"> rehabilitation or expressions of remorse. </w:t>
      </w:r>
    </w:p>
    <w:p w14:paraId="1A289D90" w14:textId="77777777" w:rsidR="00006596" w:rsidRDefault="0069101B">
      <w:pPr>
        <w:spacing w:line="480" w:lineRule="auto"/>
        <w:ind w:left="360" w:firstLine="360"/>
      </w:pPr>
      <w:r w:rsidRPr="007F7AEB">
        <w:t>The Immigration &amp; Nationality Act requires the Court to consider the “totality of the circumstances” when evaluating a petitioner’s credibility. INA § 208(b</w:t>
      </w:r>
      <w:proofErr w:type="gramStart"/>
      <w:r w:rsidRPr="007F7AEB">
        <w:t>)(</w:t>
      </w:r>
      <w:proofErr w:type="gramEnd"/>
      <w:r w:rsidRPr="007F7AEB">
        <w:t>1)(B)(iii) (“Considering the totality of the circumstances, and all relevant factors, a trier of fact may base a credibility determination on [list of factors].”). When evalu</w:t>
      </w:r>
      <w:r>
        <w:t xml:space="preserve">ating </w:t>
      </w:r>
      <w:r w:rsidRPr="002F6C93">
        <w:rPr>
          <w:highlight w:val="yellow"/>
        </w:rPr>
        <w:t>CLIENT’S</w:t>
      </w:r>
      <w:r>
        <w:t xml:space="preserve"> credibility, </w:t>
      </w:r>
      <w:r w:rsidRPr="007F7AEB">
        <w:rPr>
          <w:noProof/>
        </w:rPr>
        <w:t xml:space="preserve">the Court must include </w:t>
      </w:r>
      <w:r w:rsidRPr="002F6C93">
        <w:rPr>
          <w:noProof/>
          <w:highlight w:val="yellow"/>
        </w:rPr>
        <w:t>CLIENT’s</w:t>
      </w:r>
      <w:r w:rsidRPr="007F7AEB">
        <w:rPr>
          <w:noProof/>
        </w:rPr>
        <w:t xml:space="preserve"> mental health conditions in its “totality of the circumstances” analysis. </w:t>
      </w:r>
    </w:p>
    <w:p w14:paraId="23316060" w14:textId="77777777" w:rsidR="001D53E7" w:rsidRDefault="004E6106">
      <w:pPr>
        <w:spacing w:line="480" w:lineRule="auto"/>
        <w:ind w:left="360" w:firstLine="360"/>
        <w:rPr>
          <w:rStyle w:val="CommentReference"/>
          <w:noProof/>
          <w:sz w:val="24"/>
          <w:szCs w:val="24"/>
        </w:rPr>
      </w:pPr>
      <w:r>
        <w:rPr>
          <w:noProof/>
        </w:rPr>
        <w:lastRenderedPageBreak/>
        <w:t xml:space="preserve">The BIA </w:t>
      </w:r>
      <w:r w:rsidR="00006596">
        <w:rPr>
          <w:noProof/>
        </w:rPr>
        <w:t xml:space="preserve">requires this </w:t>
      </w:r>
      <w:r>
        <w:rPr>
          <w:noProof/>
        </w:rPr>
        <w:t xml:space="preserve">in </w:t>
      </w:r>
      <w:r w:rsidR="0069101B" w:rsidRPr="007F7AEB">
        <w:rPr>
          <w:i/>
          <w:noProof/>
        </w:rPr>
        <w:t>Matter of J-R-R-A</w:t>
      </w:r>
      <w:r>
        <w:rPr>
          <w:noProof/>
        </w:rPr>
        <w:t xml:space="preserve">. </w:t>
      </w:r>
      <w:r w:rsidR="0069101B" w:rsidRPr="007F7AEB">
        <w:rPr>
          <w:noProof/>
        </w:rPr>
        <w:t>26 I. &amp; N. Dec. 609,</w:t>
      </w:r>
      <w:r w:rsidR="00451775">
        <w:rPr>
          <w:noProof/>
        </w:rPr>
        <w:t xml:space="preserve"> </w:t>
      </w:r>
      <w:r w:rsidR="0069101B" w:rsidRPr="007F7AEB">
        <w:rPr>
          <w:noProof/>
        </w:rPr>
        <w:t>612 (BIA 2015)</w:t>
      </w:r>
      <w:r>
        <w:rPr>
          <w:rStyle w:val="CommentReference"/>
          <w:rFonts w:eastAsiaTheme="minorEastAsia"/>
        </w:rPr>
        <w:t xml:space="preserve">. </w:t>
      </w:r>
      <w:r>
        <w:rPr>
          <w:rStyle w:val="CommentReference"/>
          <w:rFonts w:eastAsiaTheme="minorEastAsia"/>
          <w:sz w:val="24"/>
          <w:szCs w:val="24"/>
        </w:rPr>
        <w:t xml:space="preserve">In </w:t>
      </w:r>
      <w:r>
        <w:rPr>
          <w:rStyle w:val="CommentReference"/>
          <w:rFonts w:eastAsiaTheme="minorEastAsia"/>
          <w:i/>
          <w:sz w:val="24"/>
          <w:szCs w:val="24"/>
        </w:rPr>
        <w:t>J-R-R-A</w:t>
      </w:r>
      <w:r>
        <w:rPr>
          <w:rStyle w:val="CommentReference"/>
          <w:rFonts w:eastAsiaTheme="minorEastAsia"/>
          <w:sz w:val="24"/>
          <w:szCs w:val="24"/>
        </w:rPr>
        <w:t>, the Board remanded an IJ for failing to consider the respondent’s cognitive limitations in his</w:t>
      </w:r>
      <w:r w:rsidR="00335FDE">
        <w:rPr>
          <w:rStyle w:val="CommentReference"/>
          <w:rFonts w:eastAsiaTheme="minorEastAsia"/>
          <w:sz w:val="24"/>
          <w:szCs w:val="24"/>
        </w:rPr>
        <w:t xml:space="preserve"> find</w:t>
      </w:r>
      <w:r>
        <w:rPr>
          <w:rStyle w:val="CommentReference"/>
          <w:rFonts w:eastAsiaTheme="minorEastAsia"/>
          <w:sz w:val="24"/>
          <w:szCs w:val="24"/>
        </w:rPr>
        <w:t>ing</w:t>
      </w:r>
      <w:r w:rsidR="00335FDE">
        <w:rPr>
          <w:rStyle w:val="CommentReference"/>
          <w:rFonts w:eastAsiaTheme="minorEastAsia"/>
          <w:sz w:val="24"/>
          <w:szCs w:val="24"/>
        </w:rPr>
        <w:t xml:space="preserve"> </w:t>
      </w:r>
      <w:r w:rsidR="00451775">
        <w:rPr>
          <w:rStyle w:val="CommentReference"/>
          <w:rFonts w:eastAsiaTheme="minorEastAsia"/>
          <w:sz w:val="24"/>
          <w:szCs w:val="24"/>
        </w:rPr>
        <w:t xml:space="preserve">that the respondent’s testimony regarding his asylum claim was not credible. </w:t>
      </w:r>
      <w:r w:rsidR="00451775">
        <w:rPr>
          <w:rStyle w:val="CommentReference"/>
          <w:rFonts w:eastAsiaTheme="minorEastAsia"/>
          <w:i/>
          <w:sz w:val="24"/>
          <w:szCs w:val="24"/>
        </w:rPr>
        <w:t>Id</w:t>
      </w:r>
      <w:r w:rsidR="00451775">
        <w:rPr>
          <w:rStyle w:val="CommentReference"/>
          <w:rFonts w:eastAsiaTheme="minorEastAsia"/>
          <w:sz w:val="24"/>
          <w:szCs w:val="24"/>
        </w:rPr>
        <w:t xml:space="preserve">. at </w:t>
      </w:r>
      <w:r w:rsidR="007D6311">
        <w:rPr>
          <w:rStyle w:val="CommentReference"/>
          <w:rFonts w:eastAsiaTheme="minorEastAsia"/>
          <w:sz w:val="24"/>
          <w:szCs w:val="24"/>
        </w:rPr>
        <w:t xml:space="preserve">609. The respondent’s attorney had mentioned his suspicions that his client may have had cognitive limitations, and the IJ had noted during the hearing that </w:t>
      </w:r>
      <w:r w:rsidR="00315D16">
        <w:rPr>
          <w:rStyle w:val="CommentReference"/>
          <w:rFonts w:eastAsiaTheme="minorEastAsia"/>
          <w:sz w:val="24"/>
          <w:szCs w:val="24"/>
        </w:rPr>
        <w:t xml:space="preserve">the respondent often appeared confused during the proceedings and was at times nonresponsive. Yet in his </w:t>
      </w:r>
      <w:proofErr w:type="gramStart"/>
      <w:r w:rsidR="00315D16">
        <w:rPr>
          <w:rStyle w:val="CommentReference"/>
          <w:rFonts w:eastAsiaTheme="minorEastAsia"/>
          <w:sz w:val="24"/>
          <w:szCs w:val="24"/>
        </w:rPr>
        <w:t>decision</w:t>
      </w:r>
      <w:proofErr w:type="gramEnd"/>
      <w:r w:rsidR="00315D16">
        <w:rPr>
          <w:rStyle w:val="CommentReference"/>
          <w:rFonts w:eastAsiaTheme="minorEastAsia"/>
          <w:sz w:val="24"/>
          <w:szCs w:val="24"/>
        </w:rPr>
        <w:t xml:space="preserve"> the IJ did not mention these concerns.</w:t>
      </w:r>
    </w:p>
    <w:p w14:paraId="384B0C28" w14:textId="77777777" w:rsidR="001D53E7" w:rsidRDefault="00315D16">
      <w:pPr>
        <w:spacing w:line="480" w:lineRule="auto"/>
        <w:ind w:left="360" w:firstLine="360"/>
        <w:rPr>
          <w:noProof/>
        </w:rPr>
      </w:pPr>
      <w:r>
        <w:rPr>
          <w:rStyle w:val="CommentReference"/>
          <w:rFonts w:eastAsiaTheme="minorEastAsia"/>
          <w:sz w:val="24"/>
          <w:szCs w:val="24"/>
        </w:rPr>
        <w:t xml:space="preserve">The BIA, in ordering the remand, </w:t>
      </w:r>
      <w:r w:rsidRPr="007F7AEB">
        <w:rPr>
          <w:noProof/>
        </w:rPr>
        <w:t>recognize</w:t>
      </w:r>
      <w:r>
        <w:rPr>
          <w:noProof/>
        </w:rPr>
        <w:t>d</w:t>
      </w:r>
      <w:r w:rsidRPr="007F7AEB">
        <w:rPr>
          <w:noProof/>
        </w:rPr>
        <w:t xml:space="preserve"> that there may be instances where, “inconsistenceies, implausibilty, inaccuracy of details, inappropriate deameanor, and nonresponsiveness—may be reflective of a mental illness or disabiilty, rather than an attempt to deceive the Immigration Judge.” </w:t>
      </w:r>
      <w:r w:rsidRPr="002F6C93">
        <w:rPr>
          <w:i/>
          <w:noProof/>
        </w:rPr>
        <w:t>Id</w:t>
      </w:r>
      <w:r>
        <w:rPr>
          <w:noProof/>
        </w:rPr>
        <w:t xml:space="preserve">. at 611. In the case, the respondent </w:t>
      </w:r>
      <w:r w:rsidR="00657CE1">
        <w:rPr>
          <w:noProof/>
        </w:rPr>
        <w:t xml:space="preserve">had incorrectly stated that 2006 was “last year’ when it was actually seven years ago, </w:t>
      </w:r>
      <w:r w:rsidR="00006596">
        <w:rPr>
          <w:noProof/>
        </w:rPr>
        <w:t>confused the year in which he first arrive in the United States, and laughed inappropriately. In response to these indiciation</w:t>
      </w:r>
      <w:r w:rsidR="001D37C4">
        <w:rPr>
          <w:noProof/>
        </w:rPr>
        <w:t>s of cognitive</w:t>
      </w:r>
      <w:r w:rsidR="00006596">
        <w:rPr>
          <w:noProof/>
        </w:rPr>
        <w:t xml:space="preserve"> limitations, the Board established an accommodation </w:t>
      </w:r>
      <w:r w:rsidR="001D53E7">
        <w:rPr>
          <w:noProof/>
        </w:rPr>
        <w:t xml:space="preserve">appropriate for the respondent, stating that </w:t>
      </w:r>
      <w:r w:rsidR="0069101B" w:rsidRPr="007F7AEB">
        <w:rPr>
          <w:noProof/>
        </w:rPr>
        <w:t>“where a mental health concern may be affecting the reliability of the applicant’s testimony, the Immigration Judge should, as a safeguard, generally accept that the applicant belives what he has presented.”</w:t>
      </w:r>
      <w:r w:rsidR="001D53E7">
        <w:rPr>
          <w:noProof/>
        </w:rPr>
        <w:t xml:space="preserve"> </w:t>
      </w:r>
      <w:r w:rsidR="001D53E7">
        <w:rPr>
          <w:i/>
          <w:noProof/>
        </w:rPr>
        <w:t>Id</w:t>
      </w:r>
      <w:r w:rsidR="001D53E7">
        <w:rPr>
          <w:noProof/>
        </w:rPr>
        <w:t xml:space="preserve">. </w:t>
      </w:r>
    </w:p>
    <w:p w14:paraId="321E26BC" w14:textId="095B9258" w:rsidR="0069101B" w:rsidRPr="001D53E7" w:rsidRDefault="001D53E7" w:rsidP="00AE0D5E">
      <w:pPr>
        <w:spacing w:line="480" w:lineRule="auto"/>
        <w:ind w:left="360" w:firstLine="360"/>
        <w:rPr>
          <w:noProof/>
        </w:rPr>
      </w:pPr>
      <w:r>
        <w:rPr>
          <w:noProof/>
        </w:rPr>
        <w:t xml:space="preserve">In </w:t>
      </w:r>
      <w:r>
        <w:rPr>
          <w:i/>
          <w:noProof/>
        </w:rPr>
        <w:t>Matter of J-R-R-A</w:t>
      </w:r>
      <w:r>
        <w:rPr>
          <w:noProof/>
        </w:rPr>
        <w:t>, the Board recognized t</w:t>
      </w:r>
      <w:r w:rsidR="009049FF">
        <w:rPr>
          <w:noProof/>
        </w:rPr>
        <w:t>hat inconsistencies can be prod</w:t>
      </w:r>
      <w:r>
        <w:rPr>
          <w:noProof/>
        </w:rPr>
        <w:t>u</w:t>
      </w:r>
      <w:r w:rsidR="009049FF">
        <w:rPr>
          <w:noProof/>
        </w:rPr>
        <w:t>cts of cognitive disabilities rath</w:t>
      </w:r>
      <w:r>
        <w:rPr>
          <w:noProof/>
        </w:rPr>
        <w:t xml:space="preserve">er </w:t>
      </w:r>
      <w:r w:rsidR="009049FF">
        <w:rPr>
          <w:noProof/>
        </w:rPr>
        <w:t>than deliberate attempts to lie</w:t>
      </w:r>
      <w:r>
        <w:rPr>
          <w:noProof/>
        </w:rPr>
        <w:t>.</w:t>
      </w:r>
      <w:r w:rsidR="009B561A">
        <w:rPr>
          <w:noProof/>
        </w:rPr>
        <w:t xml:space="preserve">  Similarly,</w:t>
      </w:r>
      <w:r>
        <w:rPr>
          <w:noProof/>
        </w:rPr>
        <w:t xml:space="preserve"> the Second Circuit </w:t>
      </w:r>
      <w:r w:rsidR="00153167">
        <w:rPr>
          <w:noProof/>
        </w:rPr>
        <w:t xml:space="preserve">and other federal courts have </w:t>
      </w:r>
      <w:r w:rsidR="009B561A">
        <w:rPr>
          <w:noProof/>
        </w:rPr>
        <w:t>cautioned that any inconsistencies in testimony must be consider</w:t>
      </w:r>
      <w:r w:rsidR="008F08CE">
        <w:rPr>
          <w:noProof/>
        </w:rPr>
        <w:t>e</w:t>
      </w:r>
      <w:r w:rsidR="009B561A">
        <w:rPr>
          <w:noProof/>
        </w:rPr>
        <w:t>d in light of the wtitness’s disabilties</w:t>
      </w:r>
      <w:r>
        <w:rPr>
          <w:noProof/>
        </w:rPr>
        <w:t>.</w:t>
      </w:r>
      <w:r w:rsidR="00AE0D5E">
        <w:rPr>
          <w:noProof/>
        </w:rPr>
        <w:t xml:space="preserve"> </w:t>
      </w:r>
      <w:r w:rsidR="00AE0D5E">
        <w:rPr>
          <w:i/>
          <w:noProof/>
        </w:rPr>
        <w:t xml:space="preserve">See </w:t>
      </w:r>
      <w:r w:rsidR="0069101B" w:rsidRPr="007F7AEB">
        <w:rPr>
          <w:i/>
          <w:noProof/>
        </w:rPr>
        <w:t>Kasongo v. Gonzales</w:t>
      </w:r>
      <w:r w:rsidR="0069101B" w:rsidRPr="007F7AEB">
        <w:rPr>
          <w:noProof/>
        </w:rPr>
        <w:t>, 161 Fed. Appx. 147, 148–49 (2d Cir. 2006) (remanding case where IJ used minor inconsistencies in testimony as unwarranted</w:t>
      </w:r>
      <w:r w:rsidR="00AE0D5E">
        <w:rPr>
          <w:noProof/>
        </w:rPr>
        <w:t xml:space="preserve"> given respondent’s e</w:t>
      </w:r>
      <w:r w:rsidR="0069101B" w:rsidRPr="007F7AEB">
        <w:rPr>
          <w:noProof/>
        </w:rPr>
        <w:t xml:space="preserve">xtremely emotionally fragile” state and his “classic </w:t>
      </w:r>
      <w:r w:rsidR="0069101B" w:rsidRPr="007F7AEB">
        <w:rPr>
          <w:noProof/>
        </w:rPr>
        <w:lastRenderedPageBreak/>
        <w:t xml:space="preserve">presentation of posttraumatic stress disorder.”); </w:t>
      </w:r>
      <w:r w:rsidR="0069101B" w:rsidRPr="007F7AEB">
        <w:rPr>
          <w:i/>
          <w:noProof/>
        </w:rPr>
        <w:t>see also Cordova-Manzanarez v. Holder</w:t>
      </w:r>
      <w:r w:rsidR="0069101B" w:rsidRPr="007F7AEB">
        <w:rPr>
          <w:noProof/>
        </w:rPr>
        <w:t xml:space="preserve">, 429 Fed. Appx. 659 (9th Cir. 2011) (remanding case in which IJ failed to take into account expert testimony regarding petitioner’s cognitive impairments that affected memory and ability to answer questions without promitping or redirection); </w:t>
      </w:r>
      <w:r w:rsidR="0069101B" w:rsidRPr="007F7AEB">
        <w:rPr>
          <w:i/>
          <w:noProof/>
        </w:rPr>
        <w:t>Zubeda v. Ashcroft</w:t>
      </w:r>
      <w:r w:rsidR="0069101B" w:rsidRPr="007F7AEB">
        <w:rPr>
          <w:noProof/>
        </w:rPr>
        <w:t>, 333 F.3d 463, 476–77 (3d Cir. 2003) (cautioning against placing too much weight on inconsistenc</w:t>
      </w:r>
      <w:r w:rsidR="0035254B">
        <w:rPr>
          <w:noProof/>
        </w:rPr>
        <w:t>i</w:t>
      </w:r>
      <w:r w:rsidR="0069101B" w:rsidRPr="007F7AEB">
        <w:rPr>
          <w:noProof/>
        </w:rPr>
        <w:t xml:space="preserve">es in testimony in light of petitioner’s mental health conditions). </w:t>
      </w:r>
    </w:p>
    <w:p w14:paraId="49C0C9B8" w14:textId="04EF4A78" w:rsidR="008807A0" w:rsidRDefault="00F35082" w:rsidP="0069101B">
      <w:pPr>
        <w:spacing w:line="480" w:lineRule="auto"/>
        <w:ind w:left="360" w:firstLine="360"/>
      </w:pPr>
      <w:r>
        <w:rPr>
          <w:noProof/>
        </w:rPr>
        <w:t xml:space="preserve">Like the respondent in </w:t>
      </w:r>
      <w:r>
        <w:rPr>
          <w:i/>
          <w:noProof/>
        </w:rPr>
        <w:t>Matter of J-R-R-A</w:t>
      </w:r>
      <w:r w:rsidR="006D2D07">
        <w:rPr>
          <w:noProof/>
        </w:rPr>
        <w:t xml:space="preserve">, individuals with </w:t>
      </w:r>
      <w:r w:rsidR="006D2D07">
        <w:t>c</w:t>
      </w:r>
      <w:r w:rsidR="0069101B" w:rsidRPr="007F7AEB">
        <w:t xml:space="preserve">ognitive and intellectual </w:t>
      </w:r>
      <w:r w:rsidR="00205571">
        <w:t>impairments</w:t>
      </w:r>
      <w:r w:rsidR="0069101B" w:rsidRPr="007F7AEB">
        <w:t xml:space="preserve"> a</w:t>
      </w:r>
      <w:r w:rsidR="006D2D07">
        <w:t xml:space="preserve">re often </w:t>
      </w:r>
      <w:r w:rsidR="0069101B" w:rsidRPr="007F7AEB">
        <w:t xml:space="preserve">unable to remember peripheral details of events, including dates and names. Such memory </w:t>
      </w:r>
      <w:r w:rsidR="00205571">
        <w:t>impairments</w:t>
      </w:r>
      <w:r w:rsidR="0069101B" w:rsidRPr="007F7AEB">
        <w:t xml:space="preserve"> are common in people suffering from intellectual or cognitive disabilities such as client.</w:t>
      </w:r>
      <w:r w:rsidR="006D2D07" w:rsidRPr="006D2D07">
        <w:t xml:space="preserve"> </w:t>
      </w:r>
      <w:r w:rsidR="00B1660D">
        <w:rPr>
          <w:i/>
        </w:rPr>
        <w:t xml:space="preserve">See </w:t>
      </w:r>
      <w:proofErr w:type="spellStart"/>
      <w:r w:rsidR="006D2D07">
        <w:t>Hefzba</w:t>
      </w:r>
      <w:proofErr w:type="spellEnd"/>
      <w:r w:rsidR="006D2D07">
        <w:t xml:space="preserve"> </w:t>
      </w:r>
      <w:proofErr w:type="spellStart"/>
      <w:r w:rsidR="006D2D07">
        <w:t>Lifshitz</w:t>
      </w:r>
      <w:proofErr w:type="spellEnd"/>
      <w:r w:rsidR="006D2D07">
        <w:t xml:space="preserve">, </w:t>
      </w:r>
      <w:r w:rsidR="006D2D07">
        <w:rPr>
          <w:i/>
        </w:rPr>
        <w:t>Working Memory Studies Among Individuals With Intellectual Disability, An Integrated Research Review</w:t>
      </w:r>
      <w:r w:rsidR="006D2D07">
        <w:t xml:space="preserve">, 59 Res. Developmental Disabilities 147 (2016); T. P. </w:t>
      </w:r>
      <w:proofErr w:type="spellStart"/>
      <w:r w:rsidR="006D2D07">
        <w:t>Alloway</w:t>
      </w:r>
      <w:proofErr w:type="spellEnd"/>
      <w:r w:rsidR="006D2D07">
        <w:t xml:space="preserve">, </w:t>
      </w:r>
      <w:r w:rsidR="006D2D07">
        <w:rPr>
          <w:i/>
        </w:rPr>
        <w:t>Working Memory and Executive Function Profiles of Individuals with Borderline Intellectual Functioning</w:t>
      </w:r>
      <w:r w:rsidR="006D2D07">
        <w:t>, 59 J. Intellectual Disability Res. (2010).</w:t>
      </w:r>
      <w:r w:rsidR="0069101B" w:rsidRPr="007F7AEB">
        <w:t xml:space="preserve"> </w:t>
      </w:r>
      <w:r w:rsidR="006C7F5C">
        <w:t>A</w:t>
      </w:r>
      <w:r w:rsidR="0069101B" w:rsidRPr="007F7AEB">
        <w:t xml:space="preserve">s the BIA itself acknowledges, such lapses are not indicative of malevolent intent, but rather reflect the reality of </w:t>
      </w:r>
      <w:r w:rsidR="0069101B" w:rsidRPr="008B2377">
        <w:rPr>
          <w:highlight w:val="yellow"/>
        </w:rPr>
        <w:t>[his/her]</w:t>
      </w:r>
      <w:r w:rsidR="0069101B" w:rsidRPr="007F7AEB">
        <w:t xml:space="preserve"> symptoms. </w:t>
      </w:r>
      <w:r w:rsidR="003D2806">
        <w:rPr>
          <w:i/>
        </w:rPr>
        <w:t>Matter of J-R-RA</w:t>
      </w:r>
      <w:proofErr w:type="gramStart"/>
      <w:r w:rsidR="003D2806">
        <w:t>,  at</w:t>
      </w:r>
      <w:proofErr w:type="gramEnd"/>
      <w:r w:rsidR="0069101B" w:rsidRPr="007F7AEB">
        <w:t xml:space="preserve"> 611 (“factors that would otherwise point to a lack of honesty in a witness—maybe be reflective of an illness or disability, rather than an attempt to deceive the Immigration Judge.”). Because failure to consider </w:t>
      </w:r>
      <w:r w:rsidR="0069101B" w:rsidRPr="006E7CC2">
        <w:rPr>
          <w:highlight w:val="yellow"/>
        </w:rPr>
        <w:t>CLIENT’S</w:t>
      </w:r>
      <w:r w:rsidR="0069101B" w:rsidRPr="007F7AEB">
        <w:t xml:space="preserve"> disability may unduly prejudice the Court’s credibility determination and undermine the fundamental fairness of the proceeding, counsel respectfully requests that the Court include consideration of </w:t>
      </w:r>
      <w:r w:rsidR="0069101B" w:rsidRPr="006E7CC2">
        <w:rPr>
          <w:highlight w:val="yellow"/>
        </w:rPr>
        <w:t>CLIENT’s</w:t>
      </w:r>
      <w:r w:rsidR="0069101B" w:rsidRPr="005130E0">
        <w:t xml:space="preserve"> cognitive </w:t>
      </w:r>
      <w:r w:rsidR="00205571">
        <w:t>impairments</w:t>
      </w:r>
      <w:r w:rsidR="0069101B" w:rsidRPr="005130E0">
        <w:t xml:space="preserve"> when evaluating </w:t>
      </w:r>
      <w:r w:rsidR="0069101B" w:rsidRPr="006E7CC2">
        <w:rPr>
          <w:highlight w:val="yellow"/>
        </w:rPr>
        <w:t>CLIENT’s</w:t>
      </w:r>
      <w:r w:rsidR="0069101B" w:rsidRPr="007F7AEB">
        <w:t xml:space="preserve"> testimony.  </w:t>
      </w:r>
    </w:p>
    <w:p w14:paraId="0407865E" w14:textId="20C4084B" w:rsidR="00FC1A78" w:rsidRDefault="008C2532" w:rsidP="008C2532">
      <w:pPr>
        <w:spacing w:line="480" w:lineRule="auto"/>
        <w:ind w:left="360" w:firstLine="360"/>
        <w:rPr>
          <w:b/>
          <w:noProof/>
        </w:rPr>
      </w:pPr>
      <w:r>
        <w:tab/>
        <w:t xml:space="preserve">Similarly, the Court must also consider </w:t>
      </w:r>
      <w:r w:rsidRPr="006E7CC2">
        <w:rPr>
          <w:highlight w:val="yellow"/>
        </w:rPr>
        <w:t>CLIENT’s</w:t>
      </w:r>
      <w:r>
        <w:t xml:space="preserve"> cognitive</w:t>
      </w:r>
      <w:r w:rsidR="006E7CC2">
        <w:t xml:space="preserve"> functioning</w:t>
      </w:r>
      <w:r>
        <w:t xml:space="preserve"> when evaluating discretionary factors such as the extent of rehabilitation and remorse. An </w:t>
      </w:r>
      <w:r>
        <w:lastRenderedPageBreak/>
        <w:t xml:space="preserve">immigration judge’s evaluation of </w:t>
      </w:r>
      <w:r w:rsidRPr="006E7CC2">
        <w:rPr>
          <w:highlight w:val="yellow"/>
        </w:rPr>
        <w:t>CLIENT’s</w:t>
      </w:r>
      <w:r>
        <w:t xml:space="preserve"> demeanor and responsiveness factors into the “totality of the circumstances” analysis the Court must adopt when assessing credibility. </w:t>
      </w:r>
      <w:r>
        <w:rPr>
          <w:i/>
        </w:rPr>
        <w:t xml:space="preserve">See </w:t>
      </w:r>
      <w:r w:rsidRPr="00503DFD">
        <w:t>INA § 208(b</w:t>
      </w:r>
      <w:proofErr w:type="gramStart"/>
      <w:r w:rsidRPr="00503DFD">
        <w:t>)(</w:t>
      </w:r>
      <w:proofErr w:type="gramEnd"/>
      <w:r w:rsidRPr="00503DFD">
        <w:t>1)(B)(iii)</w:t>
      </w:r>
      <w:r>
        <w:t xml:space="preserve"> (listing demeanor and responsiveness as two of many factors immigration judges can consider when assessing credibility). Demeanor and responsiveness are also factors the IJ considers when determining whether someone has genuine rehabilitation or remorse. </w:t>
      </w:r>
      <w:r>
        <w:rPr>
          <w:i/>
        </w:rPr>
        <w:t>See, e.g.</w:t>
      </w:r>
      <w:r>
        <w:t xml:space="preserve">, </w:t>
      </w:r>
      <w:r w:rsidRPr="002D426D">
        <w:rPr>
          <w:i/>
        </w:rPr>
        <w:t>In Re Mendez-Morales</w:t>
      </w:r>
      <w:r>
        <w:t xml:space="preserve">, 21 I. &amp; N. Dec. 296 (BIA 1996). To comply with procedural fairness, the Court must take into account </w:t>
      </w:r>
      <w:proofErr w:type="gramStart"/>
      <w:r w:rsidRPr="002D426D">
        <w:rPr>
          <w:highlight w:val="yellow"/>
        </w:rPr>
        <w:t>CLIENT’s</w:t>
      </w:r>
      <w:proofErr w:type="gramEnd"/>
      <w:r>
        <w:t xml:space="preserve"> cognitive functioning when using demeanor and responsiveness to evaluate discretionary determinations like rehabilitation and remorse. </w:t>
      </w:r>
    </w:p>
    <w:p w14:paraId="2FBA748E" w14:textId="77777777" w:rsidR="00FC1A78" w:rsidRDefault="00FC1A78" w:rsidP="00792C48">
      <w:pPr>
        <w:spacing w:line="480" w:lineRule="auto"/>
        <w:jc w:val="center"/>
        <w:outlineLvl w:val="0"/>
        <w:rPr>
          <w:b/>
          <w:noProof/>
        </w:rPr>
      </w:pPr>
    </w:p>
    <w:p w14:paraId="1F162C1A" w14:textId="77777777" w:rsidR="007D3616" w:rsidRPr="005130E0" w:rsidRDefault="007D3616" w:rsidP="00792C48">
      <w:pPr>
        <w:spacing w:line="480" w:lineRule="auto"/>
        <w:jc w:val="center"/>
        <w:outlineLvl w:val="0"/>
        <w:rPr>
          <w:b/>
          <w:noProof/>
        </w:rPr>
      </w:pPr>
      <w:r w:rsidRPr="005130E0">
        <w:rPr>
          <w:b/>
          <w:noProof/>
        </w:rPr>
        <w:t>CONCLUSION</w:t>
      </w:r>
    </w:p>
    <w:p w14:paraId="30A6A3FC" w14:textId="5E000CBD" w:rsidR="000D3C3A" w:rsidRDefault="007D3616" w:rsidP="00B170BB">
      <w:pPr>
        <w:spacing w:line="480" w:lineRule="auto"/>
        <w:rPr>
          <w:noProof/>
        </w:rPr>
      </w:pPr>
      <w:r>
        <w:rPr>
          <w:noProof/>
        </w:rPr>
        <w:t xml:space="preserve">Accommodating </w:t>
      </w:r>
      <w:r w:rsidRPr="002D426D">
        <w:rPr>
          <w:noProof/>
          <w:highlight w:val="yellow"/>
        </w:rPr>
        <w:t>CLIENT’s</w:t>
      </w:r>
      <w:r>
        <w:rPr>
          <w:noProof/>
        </w:rPr>
        <w:t xml:space="preserve"> mental health condit</w:t>
      </w:r>
      <w:r w:rsidR="00E94EBF">
        <w:rPr>
          <w:noProof/>
        </w:rPr>
        <w:t xml:space="preserve">ions is an important part of ensuring that </w:t>
      </w:r>
      <w:r w:rsidR="00545A33" w:rsidRPr="002D426D">
        <w:rPr>
          <w:noProof/>
          <w:highlight w:val="yellow"/>
        </w:rPr>
        <w:t>CLIENT’</w:t>
      </w:r>
      <w:r w:rsidR="005130E0" w:rsidRPr="002D426D">
        <w:rPr>
          <w:noProof/>
          <w:highlight w:val="yellow"/>
        </w:rPr>
        <w:t>s</w:t>
      </w:r>
      <w:r w:rsidR="005130E0">
        <w:rPr>
          <w:noProof/>
        </w:rPr>
        <w:t xml:space="preserve"> proceedings are fundamentally fair. Such accommodations will also assist in the further development of the record, and are simply good practice given the circumst</w:t>
      </w:r>
      <w:r w:rsidR="009C6CCE">
        <w:rPr>
          <w:noProof/>
        </w:rPr>
        <w:t>ances.</w:t>
      </w:r>
    </w:p>
    <w:p w14:paraId="42F5AA11" w14:textId="77777777" w:rsidR="000D3C3A" w:rsidRDefault="000D3C3A">
      <w:pPr>
        <w:spacing w:after="160" w:line="259" w:lineRule="auto"/>
        <w:rPr>
          <w:noProof/>
        </w:rPr>
      </w:pPr>
      <w:r>
        <w:rPr>
          <w:noProof/>
        </w:rPr>
        <w:br w:type="page"/>
      </w:r>
    </w:p>
    <w:p w14:paraId="37CD0DEE" w14:textId="77777777" w:rsidR="002A25DC" w:rsidRPr="007F7AEB" w:rsidRDefault="002A25DC" w:rsidP="002A25DC">
      <w:pPr>
        <w:jc w:val="right"/>
        <w:outlineLvl w:val="0"/>
        <w:rPr>
          <w:b/>
          <w:highlight w:val="yellow"/>
          <w:u w:val="single"/>
        </w:rPr>
      </w:pPr>
      <w:r w:rsidRPr="00D0785E">
        <w:rPr>
          <w:rFonts w:eastAsia="Times New Roman"/>
          <w:b/>
          <w:bCs/>
          <w:highlight w:val="yellow"/>
          <w:u w:val="single"/>
        </w:rPr>
        <w:lastRenderedPageBreak/>
        <w:t>Detained/Non-Detained</w:t>
      </w:r>
      <w:r w:rsidRPr="007F7AEB">
        <w:rPr>
          <w:rFonts w:eastAsia="Times New Roman"/>
          <w:bCs/>
        </w:rPr>
        <w:tab/>
        <w:t xml:space="preserve"> </w:t>
      </w:r>
    </w:p>
    <w:p w14:paraId="509C3D99" w14:textId="77777777" w:rsidR="002A25DC" w:rsidRPr="007F7AEB" w:rsidRDefault="002A25DC" w:rsidP="002A25DC">
      <w:pPr>
        <w:rPr>
          <w:lang w:eastAsia="ja-JP"/>
        </w:rPr>
      </w:pPr>
      <w:r w:rsidRPr="00D0785E">
        <w:rPr>
          <w:highlight w:val="yellow"/>
          <w:lang w:eastAsia="ja-JP"/>
        </w:rPr>
        <w:t>[ENTER ATTORNEY INFO HERE]</w:t>
      </w:r>
    </w:p>
    <w:p w14:paraId="14F40421" w14:textId="77777777" w:rsidR="002A25DC" w:rsidRPr="007F7AEB" w:rsidRDefault="002A25DC" w:rsidP="002A25DC">
      <w:pPr>
        <w:jc w:val="center"/>
        <w:rPr>
          <w:rFonts w:eastAsia="Times New Roman"/>
        </w:rPr>
      </w:pPr>
    </w:p>
    <w:p w14:paraId="704F2EE4" w14:textId="77777777" w:rsidR="002A25DC" w:rsidRPr="007F7AEB" w:rsidRDefault="002A25DC" w:rsidP="002A25DC">
      <w:pPr>
        <w:jc w:val="center"/>
        <w:rPr>
          <w:rFonts w:eastAsia="Times New Roman"/>
        </w:rPr>
      </w:pPr>
    </w:p>
    <w:p w14:paraId="28C6D6EB" w14:textId="77777777" w:rsidR="002A25DC" w:rsidRPr="007F7AEB" w:rsidRDefault="002A25DC" w:rsidP="002A25DC">
      <w:pPr>
        <w:jc w:val="center"/>
        <w:outlineLvl w:val="0"/>
        <w:rPr>
          <w:rFonts w:eastAsia="Times New Roman"/>
        </w:rPr>
      </w:pPr>
      <w:r w:rsidRPr="007F7AEB">
        <w:rPr>
          <w:rFonts w:eastAsia="Times New Roman"/>
        </w:rPr>
        <w:t>UNITED STATES DEPARTMENT OF JUSTICE</w:t>
      </w:r>
    </w:p>
    <w:p w14:paraId="6F2FB309" w14:textId="77777777" w:rsidR="002A25DC" w:rsidRPr="007F7AEB" w:rsidRDefault="002A25DC" w:rsidP="002A25DC">
      <w:pPr>
        <w:jc w:val="center"/>
        <w:rPr>
          <w:rFonts w:eastAsia="Times New Roman"/>
        </w:rPr>
      </w:pPr>
      <w:r w:rsidRPr="007F7AEB">
        <w:rPr>
          <w:rFonts w:eastAsia="Times New Roman"/>
        </w:rPr>
        <w:t>EXECUTIVE OFFICE FOR IMMIGRATION REVIEW</w:t>
      </w:r>
    </w:p>
    <w:p w14:paraId="13F44CEB" w14:textId="77777777" w:rsidR="002A25DC" w:rsidRPr="007F7AEB" w:rsidRDefault="002A25DC" w:rsidP="002A25DC">
      <w:pPr>
        <w:jc w:val="center"/>
        <w:rPr>
          <w:rFonts w:eastAsia="Times New Roman"/>
        </w:rPr>
      </w:pPr>
      <w:r w:rsidRPr="007F7AEB">
        <w:rPr>
          <w:rFonts w:eastAsia="Times New Roman"/>
        </w:rPr>
        <w:t>OFFICE OF THE IMMIGRATION JUDGE</w:t>
      </w:r>
    </w:p>
    <w:p w14:paraId="1E379589" w14:textId="77777777" w:rsidR="002A25DC" w:rsidRPr="007F7AEB" w:rsidRDefault="002A25DC" w:rsidP="002A25DC">
      <w:pPr>
        <w:jc w:val="center"/>
        <w:rPr>
          <w:rFonts w:eastAsia="Times New Roman"/>
        </w:rPr>
      </w:pPr>
      <w:r w:rsidRPr="007F7AEB">
        <w:rPr>
          <w:rFonts w:eastAsia="Times New Roman"/>
        </w:rPr>
        <w:t>NEW YORK, NEW YORK</w:t>
      </w:r>
    </w:p>
    <w:p w14:paraId="55706B28" w14:textId="77777777" w:rsidR="002A25DC" w:rsidRPr="007F7AEB" w:rsidRDefault="002A25DC" w:rsidP="002A25DC">
      <w:pPr>
        <w:rPr>
          <w:rFonts w:eastAsia="Times New Roman"/>
        </w:rPr>
      </w:pPr>
    </w:p>
    <w:p w14:paraId="54CBB4D2" w14:textId="77777777" w:rsidR="002A25DC" w:rsidRPr="007F7AEB" w:rsidRDefault="002A25DC" w:rsidP="002A25DC">
      <w:pPr>
        <w:rPr>
          <w:rFonts w:eastAsia="Times New Roman"/>
        </w:rPr>
      </w:pPr>
      <w:r w:rsidRPr="007F7AEB">
        <w:rPr>
          <w:rFonts w:eastAsia="Times New Roman"/>
        </w:rPr>
        <w:t>____________________________</w:t>
      </w:r>
    </w:p>
    <w:p w14:paraId="25E4CD95" w14:textId="77777777" w:rsidR="002A25DC" w:rsidRPr="007F7AEB" w:rsidRDefault="002A25DC" w:rsidP="002A25DC">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p>
    <w:p w14:paraId="55AF992E" w14:textId="77777777" w:rsidR="002A25DC" w:rsidRPr="007F7AEB" w:rsidRDefault="002A25DC" w:rsidP="002A25DC">
      <w:pPr>
        <w:rPr>
          <w:rFonts w:eastAsia="Times New Roman"/>
        </w:rPr>
      </w:pPr>
      <w:r w:rsidRPr="007F7AEB">
        <w:rPr>
          <w:rFonts w:eastAsia="Times New Roman"/>
        </w:rPr>
        <w:t>In the Matter of:</w:t>
      </w:r>
      <w:r w:rsidRPr="007F7AEB">
        <w:rPr>
          <w:rFonts w:eastAsia="Times New Roman"/>
        </w:rPr>
        <w:tab/>
      </w:r>
      <w:r w:rsidRPr="007F7AEB">
        <w:rPr>
          <w:rFonts w:eastAsia="Times New Roman"/>
        </w:rPr>
        <w:tab/>
      </w:r>
      <w:r w:rsidRPr="007F7AEB">
        <w:rPr>
          <w:rFonts w:eastAsia="Times New Roman"/>
        </w:rPr>
        <w:tab/>
        <w:t>)</w:t>
      </w:r>
      <w:r w:rsidRPr="007F7AEB">
        <w:rPr>
          <w:rFonts w:eastAsia="Times New Roman"/>
        </w:rPr>
        <w:tab/>
      </w:r>
      <w:r w:rsidRPr="007F7AEB">
        <w:rPr>
          <w:rFonts w:eastAsia="Times New Roman"/>
        </w:rPr>
        <w:tab/>
      </w:r>
    </w:p>
    <w:p w14:paraId="4C946190" w14:textId="77777777" w:rsidR="002A25DC" w:rsidRPr="007F7AEB" w:rsidRDefault="002A25DC" w:rsidP="002A25DC">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p>
    <w:p w14:paraId="736FA1B5" w14:textId="77777777" w:rsidR="002A25DC" w:rsidRPr="007F7AEB" w:rsidRDefault="002A25DC" w:rsidP="002A25DC">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r w:rsidRPr="007F7AEB">
        <w:rPr>
          <w:rFonts w:eastAsia="Times New Roman"/>
        </w:rPr>
        <w:tab/>
      </w:r>
      <w:r w:rsidRPr="007F7AEB">
        <w:rPr>
          <w:rFonts w:eastAsia="Times New Roman"/>
        </w:rPr>
        <w:tab/>
      </w:r>
      <w:r w:rsidRPr="007F7AEB">
        <w:rPr>
          <w:rFonts w:eastAsia="Times New Roman"/>
          <w:lang w:bidi="en-US"/>
        </w:rPr>
        <w:t>A##########</w:t>
      </w:r>
    </w:p>
    <w:p w14:paraId="1C9B9923" w14:textId="77777777" w:rsidR="002A25DC" w:rsidRPr="007F7AEB" w:rsidRDefault="002A25DC" w:rsidP="002A25DC">
      <w:pPr>
        <w:rPr>
          <w:rFonts w:eastAsia="Times New Roman"/>
        </w:rPr>
      </w:pPr>
      <w:r w:rsidRPr="00C05950">
        <w:rPr>
          <w:rFonts w:eastAsia="Times New Roman"/>
          <w:highlight w:val="yellow"/>
        </w:rPr>
        <w:t>CLIENT</w:t>
      </w:r>
      <w:r w:rsidRPr="007F7AEB">
        <w:rPr>
          <w:rFonts w:eastAsia="Times New Roman"/>
        </w:rPr>
        <w:tab/>
      </w:r>
      <w:r w:rsidRPr="007F7AEB">
        <w:rPr>
          <w:rFonts w:eastAsia="Times New Roman"/>
        </w:rPr>
        <w:tab/>
        <w:t xml:space="preserve">           </w:t>
      </w:r>
      <w:r>
        <w:rPr>
          <w:rFonts w:eastAsia="Times New Roman"/>
        </w:rPr>
        <w:tab/>
        <w:t xml:space="preserve">           </w:t>
      </w:r>
      <w:r w:rsidRPr="007F7AEB">
        <w:rPr>
          <w:rFonts w:eastAsia="Times New Roman"/>
        </w:rPr>
        <w:t xml:space="preserve"> )</w:t>
      </w:r>
      <w:r w:rsidRPr="007F7AEB">
        <w:rPr>
          <w:rFonts w:eastAsia="Times New Roman"/>
        </w:rPr>
        <w:tab/>
      </w:r>
      <w:r w:rsidRPr="007F7AEB">
        <w:rPr>
          <w:rFonts w:eastAsia="Times New Roman"/>
        </w:rPr>
        <w:tab/>
      </w:r>
    </w:p>
    <w:p w14:paraId="184E9B46" w14:textId="77777777" w:rsidR="002A25DC" w:rsidRPr="007F7AEB" w:rsidRDefault="002A25DC" w:rsidP="002A25DC">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p>
    <w:p w14:paraId="1AA791D1" w14:textId="77777777" w:rsidR="002A25DC" w:rsidRPr="007F7AEB" w:rsidRDefault="002A25DC" w:rsidP="002A25DC">
      <w:pPr>
        <w:rPr>
          <w:rFonts w:eastAsia="Times New Roman"/>
        </w:rPr>
      </w:pP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r>
      <w:r w:rsidRPr="007F7AEB">
        <w:rPr>
          <w:rFonts w:eastAsia="Times New Roman"/>
        </w:rPr>
        <w:tab/>
        <w:t>)</w:t>
      </w:r>
    </w:p>
    <w:p w14:paraId="2991BA0C" w14:textId="77777777" w:rsidR="002A25DC" w:rsidRPr="007F7AEB" w:rsidRDefault="002A25DC" w:rsidP="002A25DC">
      <w:pPr>
        <w:rPr>
          <w:rFonts w:eastAsia="Times New Roman"/>
        </w:rPr>
      </w:pPr>
      <w:r w:rsidRPr="007F7AEB">
        <w:rPr>
          <w:rFonts w:eastAsia="Times New Roman"/>
        </w:rPr>
        <w:t>In Removal Proceedings</w:t>
      </w:r>
      <w:r w:rsidRPr="007F7AEB">
        <w:rPr>
          <w:rFonts w:eastAsia="Times New Roman"/>
        </w:rPr>
        <w:tab/>
      </w:r>
      <w:r w:rsidRPr="007F7AEB">
        <w:rPr>
          <w:rFonts w:eastAsia="Times New Roman"/>
        </w:rPr>
        <w:tab/>
        <w:t>)</w:t>
      </w:r>
    </w:p>
    <w:p w14:paraId="569B1DE6" w14:textId="77777777" w:rsidR="002A25DC" w:rsidRPr="007F7AEB" w:rsidRDefault="002A25DC" w:rsidP="002A25DC">
      <w:pPr>
        <w:rPr>
          <w:rFonts w:eastAsia="SimSun"/>
          <w:b/>
        </w:rPr>
      </w:pPr>
      <w:r w:rsidRPr="007F7AEB">
        <w:rPr>
          <w:rFonts w:eastAsia="Times New Roman"/>
        </w:rPr>
        <w:t>____________________________</w:t>
      </w:r>
    </w:p>
    <w:p w14:paraId="17D6DB98" w14:textId="77777777" w:rsidR="002A25DC" w:rsidRPr="007F7AEB" w:rsidRDefault="002A25DC" w:rsidP="002A25DC">
      <w:pPr>
        <w:ind w:left="720"/>
        <w:jc w:val="center"/>
        <w:rPr>
          <w:rFonts w:eastAsiaTheme="minorEastAsia"/>
          <w:b/>
        </w:rPr>
      </w:pPr>
    </w:p>
    <w:p w14:paraId="28B3244C" w14:textId="77777777" w:rsidR="002A25DC" w:rsidRPr="007F7AEB" w:rsidRDefault="002A25DC" w:rsidP="002A25DC">
      <w:pPr>
        <w:ind w:left="720"/>
        <w:jc w:val="center"/>
        <w:rPr>
          <w:b/>
        </w:rPr>
      </w:pPr>
    </w:p>
    <w:p w14:paraId="7B84356C" w14:textId="77777777" w:rsidR="002A25DC" w:rsidRPr="005130E0" w:rsidRDefault="002A25DC" w:rsidP="002A25DC">
      <w:pPr>
        <w:jc w:val="center"/>
        <w:outlineLvl w:val="0"/>
      </w:pPr>
      <w:r w:rsidRPr="007F7AEB">
        <w:rPr>
          <w:b/>
        </w:rPr>
        <w:t xml:space="preserve">Immigration Judge:  </w:t>
      </w:r>
      <w:r w:rsidRPr="007F7AEB">
        <w:rPr>
          <w:b/>
        </w:rPr>
        <w:tab/>
        <w:t>Hearing Date:</w:t>
      </w:r>
      <w:r>
        <w:rPr>
          <w:b/>
        </w:rPr>
        <w:t xml:space="preserve"> </w:t>
      </w:r>
    </w:p>
    <w:p w14:paraId="07AB2C1E" w14:textId="77777777" w:rsidR="002A25DC" w:rsidRDefault="002A25DC" w:rsidP="002A25DC">
      <w:pPr>
        <w:spacing w:before="240" w:after="240"/>
        <w:contextualSpacing/>
        <w:jc w:val="center"/>
        <w:rPr>
          <w:b/>
          <w:bCs/>
        </w:rPr>
      </w:pPr>
      <w:r w:rsidRPr="00210075">
        <w:rPr>
          <w:b/>
          <w:bCs/>
        </w:rPr>
        <w:t xml:space="preserve"> </w:t>
      </w:r>
    </w:p>
    <w:p w14:paraId="660A75BB" w14:textId="2D469411" w:rsidR="000D3C3A" w:rsidRPr="00210075" w:rsidRDefault="000D3C3A" w:rsidP="002A25DC">
      <w:pPr>
        <w:spacing w:before="240" w:after="240"/>
        <w:contextualSpacing/>
        <w:jc w:val="center"/>
        <w:rPr>
          <w:b/>
          <w:bCs/>
        </w:rPr>
      </w:pPr>
      <w:r w:rsidRPr="00210075">
        <w:rPr>
          <w:b/>
          <w:bCs/>
        </w:rPr>
        <w:t xml:space="preserve">[PROPOSED] ORDER </w:t>
      </w:r>
      <w:r>
        <w:rPr>
          <w:b/>
          <w:bCs/>
        </w:rPr>
        <w:t>FOR THE MOTION TO REQUEST SAFEGUARDS</w:t>
      </w:r>
    </w:p>
    <w:p w14:paraId="3A5378E6" w14:textId="77777777" w:rsidR="000D3C3A" w:rsidRPr="00210075" w:rsidRDefault="000D3C3A" w:rsidP="000D3C3A">
      <w:pPr>
        <w:spacing w:before="240" w:after="240"/>
        <w:contextualSpacing/>
        <w:rPr>
          <w:b/>
          <w:bCs/>
        </w:rPr>
      </w:pPr>
    </w:p>
    <w:p w14:paraId="2F51F3F6" w14:textId="77777777" w:rsidR="000D3C3A" w:rsidRPr="00210075" w:rsidRDefault="000D3C3A" w:rsidP="000D3C3A">
      <w:pPr>
        <w:spacing w:before="240" w:after="240"/>
        <w:contextualSpacing/>
        <w:rPr>
          <w:bCs/>
        </w:rPr>
      </w:pPr>
      <w:r w:rsidRPr="00210075">
        <w:rPr>
          <w:bCs/>
        </w:rPr>
        <w:t xml:space="preserve">Respondent’s Motion to Continue is HEREBY       </w:t>
      </w:r>
    </w:p>
    <w:p w14:paraId="7608E720" w14:textId="77777777" w:rsidR="000D3C3A" w:rsidRPr="00210075" w:rsidRDefault="000D3C3A" w:rsidP="000D3C3A">
      <w:pPr>
        <w:spacing w:before="240" w:after="240"/>
        <w:contextualSpacing/>
        <w:rPr>
          <w:bCs/>
        </w:rPr>
      </w:pPr>
      <w:r>
        <w:rPr>
          <w:bCs/>
          <w:noProof/>
        </w:rPr>
        <mc:AlternateContent>
          <mc:Choice Requires="wps">
            <w:drawing>
              <wp:anchor distT="0" distB="0" distL="114300" distR="114300" simplePos="0" relativeHeight="251659264" behindDoc="0" locked="0" layoutInCell="1" allowOverlap="1" wp14:anchorId="1F3DD0A5" wp14:editId="217A1A57">
                <wp:simplePos x="0" y="0"/>
                <wp:positionH relativeFrom="column">
                  <wp:posOffset>1743075</wp:posOffset>
                </wp:positionH>
                <wp:positionV relativeFrom="paragraph">
                  <wp:posOffset>28575</wp:posOffset>
                </wp:positionV>
                <wp:extent cx="90805" cy="90805"/>
                <wp:effectExtent l="9525" t="12065"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2D4DC57F" id="Rectangle 2" o:spid="_x0000_s1026" style="position:absolute;margin-left:137.25pt;margin-top:2.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"/>
            </w:pict>
          </mc:Fallback>
        </mc:AlternateContent>
      </w:r>
      <w:r>
        <w:rPr>
          <w:bCs/>
          <w:noProof/>
        </w:rPr>
        <mc:AlternateContent>
          <mc:Choice Requires="wps">
            <w:drawing>
              <wp:anchor distT="0" distB="0" distL="114300" distR="114300" simplePos="0" relativeHeight="251660288" behindDoc="0" locked="0" layoutInCell="1" allowOverlap="1" wp14:anchorId="6451519F" wp14:editId="1EB52EAF">
                <wp:simplePos x="0" y="0"/>
                <wp:positionH relativeFrom="column">
                  <wp:posOffset>857250</wp:posOffset>
                </wp:positionH>
                <wp:positionV relativeFrom="paragraph">
                  <wp:posOffset>28575</wp:posOffset>
                </wp:positionV>
                <wp:extent cx="90805" cy="90805"/>
                <wp:effectExtent l="9525" t="12065"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69BAC0E3" id="Rectangle 1" o:spid="_x0000_s1026" style="position:absolute;margin-left:67.5pt;margin-top:2.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"/>
            </w:pict>
          </mc:Fallback>
        </mc:AlternateContent>
      </w:r>
      <w:r w:rsidRPr="00210075">
        <w:rPr>
          <w:bCs/>
        </w:rPr>
        <w:t xml:space="preserve">GRANTED         DENIED       .   </w:t>
      </w:r>
    </w:p>
    <w:p w14:paraId="4E97B0C2" w14:textId="77777777" w:rsidR="000D3C3A" w:rsidRPr="00210075" w:rsidRDefault="000D3C3A" w:rsidP="000D3C3A">
      <w:pPr>
        <w:spacing w:before="240" w:after="240"/>
        <w:contextualSpacing/>
        <w:rPr>
          <w:bCs/>
        </w:rPr>
      </w:pPr>
    </w:p>
    <w:p w14:paraId="2C64DF50" w14:textId="77777777" w:rsidR="000D3C3A" w:rsidRPr="00210075" w:rsidRDefault="000D3C3A" w:rsidP="000D3C3A">
      <w:pPr>
        <w:numPr>
          <w:ilvl w:val="0"/>
          <w:numId w:val="15"/>
        </w:numPr>
        <w:autoSpaceDE w:val="0"/>
        <w:autoSpaceDN w:val="0"/>
        <w:adjustRightInd w:val="0"/>
        <w:spacing w:before="240" w:after="240"/>
        <w:ind w:left="1080"/>
        <w:contextualSpacing/>
      </w:pPr>
      <w:r w:rsidRPr="00210075">
        <w:t>DHS does not oppose the motion.</w:t>
      </w:r>
    </w:p>
    <w:p w14:paraId="34D7DBED" w14:textId="77777777" w:rsidR="000D3C3A" w:rsidRPr="00210075" w:rsidRDefault="000D3C3A" w:rsidP="000D3C3A">
      <w:pPr>
        <w:numPr>
          <w:ilvl w:val="0"/>
          <w:numId w:val="15"/>
        </w:numPr>
        <w:autoSpaceDE w:val="0"/>
        <w:autoSpaceDN w:val="0"/>
        <w:adjustRightInd w:val="0"/>
        <w:spacing w:before="240" w:after="240"/>
        <w:ind w:left="1080"/>
        <w:contextualSpacing/>
      </w:pPr>
      <w:r w:rsidRPr="00210075">
        <w:t>The Respondent does not oppose the motion.</w:t>
      </w:r>
    </w:p>
    <w:p w14:paraId="581CE119" w14:textId="77777777" w:rsidR="000D3C3A" w:rsidRPr="00210075" w:rsidRDefault="000D3C3A" w:rsidP="000D3C3A">
      <w:pPr>
        <w:numPr>
          <w:ilvl w:val="0"/>
          <w:numId w:val="15"/>
        </w:numPr>
        <w:autoSpaceDE w:val="0"/>
        <w:autoSpaceDN w:val="0"/>
        <w:adjustRightInd w:val="0"/>
        <w:spacing w:before="240" w:after="240"/>
        <w:ind w:left="1080"/>
        <w:contextualSpacing/>
      </w:pPr>
      <w:r w:rsidRPr="00210075">
        <w:t xml:space="preserve">A Response to the motion </w:t>
      </w:r>
      <w:proofErr w:type="gramStart"/>
      <w:r w:rsidRPr="00210075">
        <w:t>has not been filed</w:t>
      </w:r>
      <w:proofErr w:type="gramEnd"/>
      <w:r w:rsidRPr="00210075">
        <w:t xml:space="preserve"> with the court.</w:t>
      </w:r>
    </w:p>
    <w:p w14:paraId="66F4594A" w14:textId="77777777" w:rsidR="000D3C3A" w:rsidRPr="00210075" w:rsidRDefault="000D3C3A" w:rsidP="000D3C3A">
      <w:pPr>
        <w:numPr>
          <w:ilvl w:val="0"/>
          <w:numId w:val="15"/>
        </w:numPr>
        <w:autoSpaceDE w:val="0"/>
        <w:autoSpaceDN w:val="0"/>
        <w:adjustRightInd w:val="0"/>
        <w:spacing w:before="240" w:after="240"/>
        <w:ind w:left="1080"/>
        <w:contextualSpacing/>
      </w:pPr>
      <w:r w:rsidRPr="00210075">
        <w:t xml:space="preserve">Good Cause </w:t>
      </w:r>
      <w:proofErr w:type="gramStart"/>
      <w:r w:rsidRPr="00210075">
        <w:t>has been established</w:t>
      </w:r>
      <w:proofErr w:type="gramEnd"/>
      <w:r w:rsidRPr="00210075">
        <w:t xml:space="preserve"> for the motion.</w:t>
      </w:r>
    </w:p>
    <w:p w14:paraId="47126A96" w14:textId="77777777" w:rsidR="000D3C3A" w:rsidRPr="00210075" w:rsidRDefault="000D3C3A" w:rsidP="000D3C3A">
      <w:pPr>
        <w:numPr>
          <w:ilvl w:val="0"/>
          <w:numId w:val="15"/>
        </w:numPr>
        <w:autoSpaceDE w:val="0"/>
        <w:autoSpaceDN w:val="0"/>
        <w:adjustRightInd w:val="0"/>
        <w:spacing w:before="240" w:after="240"/>
        <w:ind w:left="1080"/>
        <w:contextualSpacing/>
      </w:pPr>
      <w:r w:rsidRPr="00210075">
        <w:t>The Court agrees with the reasons stated in the opposition to the motion.</w:t>
      </w:r>
    </w:p>
    <w:p w14:paraId="288FDC41" w14:textId="77777777" w:rsidR="000D3C3A" w:rsidRPr="00210075" w:rsidRDefault="000D3C3A" w:rsidP="000D3C3A">
      <w:pPr>
        <w:numPr>
          <w:ilvl w:val="0"/>
          <w:numId w:val="15"/>
        </w:numPr>
        <w:autoSpaceDE w:val="0"/>
        <w:autoSpaceDN w:val="0"/>
        <w:adjustRightInd w:val="0"/>
        <w:spacing w:before="240" w:after="240"/>
        <w:ind w:left="1080"/>
        <w:contextualSpacing/>
      </w:pPr>
      <w:r>
        <w:t>The motion is untimely</w:t>
      </w:r>
      <w:r w:rsidRPr="00210075">
        <w:t>.</w:t>
      </w:r>
    </w:p>
    <w:p w14:paraId="32016256" w14:textId="77777777" w:rsidR="000D3C3A" w:rsidRPr="00210075" w:rsidRDefault="000D3C3A" w:rsidP="000D3C3A">
      <w:pPr>
        <w:numPr>
          <w:ilvl w:val="0"/>
          <w:numId w:val="15"/>
        </w:numPr>
        <w:autoSpaceDE w:val="0"/>
        <w:autoSpaceDN w:val="0"/>
        <w:adjustRightInd w:val="0"/>
        <w:spacing w:before="240" w:after="240"/>
        <w:ind w:left="1080"/>
        <w:contextualSpacing/>
      </w:pPr>
      <w:r w:rsidRPr="00210075">
        <w:t>Other____________________________________________________.</w:t>
      </w:r>
    </w:p>
    <w:p w14:paraId="7A2643F9" w14:textId="77777777" w:rsidR="000D3C3A" w:rsidRPr="00210075" w:rsidRDefault="000D3C3A" w:rsidP="000D3C3A">
      <w:pPr>
        <w:spacing w:before="240" w:after="240"/>
        <w:contextualSpacing/>
        <w:rPr>
          <w:b/>
        </w:rPr>
      </w:pPr>
      <w:r w:rsidRPr="00210075">
        <w:rPr>
          <w:b/>
        </w:rPr>
        <w:t>DEADLINES</w:t>
      </w:r>
    </w:p>
    <w:p w14:paraId="290A9348" w14:textId="77777777" w:rsidR="000D3C3A" w:rsidRPr="00210075" w:rsidRDefault="000D3C3A" w:rsidP="000D3C3A">
      <w:pPr>
        <w:numPr>
          <w:ilvl w:val="0"/>
          <w:numId w:val="15"/>
        </w:numPr>
        <w:autoSpaceDE w:val="0"/>
        <w:autoSpaceDN w:val="0"/>
        <w:adjustRightInd w:val="0"/>
        <w:spacing w:before="240" w:after="240"/>
        <w:ind w:left="1080"/>
        <w:contextualSpacing/>
      </w:pPr>
      <w:r w:rsidRPr="00210075">
        <w:t xml:space="preserve">The application(s) for relief </w:t>
      </w:r>
      <w:proofErr w:type="gramStart"/>
      <w:r w:rsidRPr="00210075">
        <w:t>must be filed</w:t>
      </w:r>
      <w:proofErr w:type="gramEnd"/>
      <w:r w:rsidRPr="00210075">
        <w:t xml:space="preserve"> by_____________________.</w:t>
      </w:r>
    </w:p>
    <w:p w14:paraId="15C0F352" w14:textId="77777777" w:rsidR="000D3C3A" w:rsidRPr="00210075" w:rsidRDefault="000D3C3A" w:rsidP="000D3C3A">
      <w:pPr>
        <w:numPr>
          <w:ilvl w:val="0"/>
          <w:numId w:val="15"/>
        </w:numPr>
        <w:autoSpaceDE w:val="0"/>
        <w:autoSpaceDN w:val="0"/>
        <w:adjustRightInd w:val="0"/>
        <w:spacing w:before="240" w:after="240"/>
        <w:ind w:left="1080"/>
        <w:contextualSpacing/>
      </w:pPr>
      <w:r w:rsidRPr="00210075">
        <w:t>Other____________________________________________________.</w:t>
      </w:r>
    </w:p>
    <w:p w14:paraId="2643532D" w14:textId="77777777" w:rsidR="000D3C3A" w:rsidRPr="00210075" w:rsidRDefault="000D3C3A" w:rsidP="000D3C3A">
      <w:pPr>
        <w:spacing w:before="240" w:after="240"/>
        <w:contextualSpacing/>
      </w:pPr>
    </w:p>
    <w:p w14:paraId="7FDABCA3" w14:textId="77777777" w:rsidR="000D3C3A" w:rsidRPr="00210075" w:rsidRDefault="000D3C3A" w:rsidP="000D3C3A">
      <w:pPr>
        <w:spacing w:before="240" w:after="240"/>
        <w:contextualSpacing/>
      </w:pPr>
      <w:r w:rsidRPr="00210075">
        <w:t>DATED:</w:t>
      </w:r>
      <w:r w:rsidRPr="00210075">
        <w:tab/>
      </w:r>
      <w:r w:rsidRPr="00210075">
        <w:tab/>
      </w:r>
      <w:r w:rsidRPr="00210075">
        <w:tab/>
      </w:r>
      <w:r w:rsidRPr="00210075">
        <w:tab/>
        <w:t>______________________________</w:t>
      </w:r>
      <w:r w:rsidRPr="00210075">
        <w:tab/>
      </w:r>
      <w:r w:rsidRPr="00210075">
        <w:tab/>
      </w:r>
      <w:r w:rsidRPr="00210075">
        <w:tab/>
      </w:r>
      <w:r w:rsidRPr="00210075">
        <w:tab/>
      </w:r>
      <w:r w:rsidRPr="00210075">
        <w:tab/>
      </w:r>
      <w:r w:rsidRPr="00210075">
        <w:tab/>
      </w:r>
      <w:r w:rsidRPr="00210075">
        <w:tab/>
        <w:t xml:space="preserve"> </w:t>
      </w:r>
      <w:r w:rsidRPr="00210075">
        <w:tab/>
      </w:r>
      <w:r w:rsidRPr="00210075">
        <w:tab/>
        <w:t>Immigration Judge</w:t>
      </w:r>
    </w:p>
    <w:p w14:paraId="0583AA83" w14:textId="4EE87282" w:rsidR="000D3C3A" w:rsidRPr="00210075" w:rsidRDefault="000D3C3A" w:rsidP="000D3C3A">
      <w:pPr>
        <w:pStyle w:val="Caption"/>
        <w:tabs>
          <w:tab w:val="left" w:pos="1332"/>
          <w:tab w:val="left" w:pos="3204"/>
        </w:tabs>
        <w:spacing w:before="240" w:after="240"/>
        <w:ind w:right="-648"/>
        <w:contextualSpacing/>
        <w:rPr>
          <w:b/>
          <w:sz w:val="24"/>
          <w:szCs w:val="24"/>
        </w:rPr>
      </w:pPr>
      <w:r w:rsidRPr="00210075">
        <w:rPr>
          <w:b/>
          <w:sz w:val="24"/>
          <w:szCs w:val="24"/>
        </w:rPr>
        <w:tab/>
      </w:r>
      <w:r w:rsidRPr="00210075">
        <w:rPr>
          <w:b/>
          <w:sz w:val="24"/>
          <w:szCs w:val="24"/>
        </w:rPr>
        <w:tab/>
      </w:r>
      <w:r w:rsidRPr="00210075">
        <w:rPr>
          <w:b/>
          <w:sz w:val="24"/>
          <w:szCs w:val="24"/>
        </w:rPr>
        <w:tab/>
      </w:r>
      <w:r w:rsidRPr="00210075">
        <w:rPr>
          <w:b/>
          <w:sz w:val="24"/>
          <w:szCs w:val="24"/>
        </w:rPr>
        <w:tab/>
      </w:r>
      <w:r w:rsidRPr="00210075">
        <w:rPr>
          <w:b/>
          <w:sz w:val="24"/>
          <w:szCs w:val="24"/>
        </w:rPr>
        <w:br w:type="page"/>
      </w:r>
    </w:p>
    <w:p w14:paraId="27310948" w14:textId="77777777" w:rsidR="000D3C3A" w:rsidRDefault="000D3C3A" w:rsidP="000D3C3A"/>
    <w:p w14:paraId="56177C15" w14:textId="77777777" w:rsidR="00CD251C" w:rsidRPr="007F7AEB" w:rsidRDefault="00CD251C" w:rsidP="00B170BB">
      <w:pPr>
        <w:spacing w:line="480" w:lineRule="auto"/>
        <w:rPr>
          <w:noProof/>
        </w:rPr>
      </w:pPr>
    </w:p>
    <w:sectPr w:rsidR="00CD251C" w:rsidRPr="007F7AEB" w:rsidSect="003763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50728" w14:textId="77777777" w:rsidR="00404E1C" w:rsidRDefault="00404E1C" w:rsidP="00B170BB">
      <w:r>
        <w:separator/>
      </w:r>
    </w:p>
  </w:endnote>
  <w:endnote w:type="continuationSeparator" w:id="0">
    <w:p w14:paraId="5E77FFE5" w14:textId="77777777" w:rsidR="00404E1C" w:rsidRDefault="00404E1C" w:rsidP="00B1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7575"/>
      <w:docPartObj>
        <w:docPartGallery w:val="Page Numbers (Bottom of Page)"/>
        <w:docPartUnique/>
      </w:docPartObj>
    </w:sdtPr>
    <w:sdtEndPr>
      <w:rPr>
        <w:noProof/>
      </w:rPr>
    </w:sdtEndPr>
    <w:sdtContent>
      <w:p w14:paraId="4CA6CDF9" w14:textId="779489C8" w:rsidR="0037637A" w:rsidRDefault="0037637A">
        <w:pPr>
          <w:pStyle w:val="Footer"/>
          <w:jc w:val="right"/>
        </w:pPr>
        <w:r>
          <w:fldChar w:fldCharType="begin"/>
        </w:r>
        <w:r>
          <w:instrText xml:space="preserve"> PAGE   \* MERGEFORMAT </w:instrText>
        </w:r>
        <w:r>
          <w:fldChar w:fldCharType="separate"/>
        </w:r>
        <w:r w:rsidR="00141157">
          <w:rPr>
            <w:noProof/>
          </w:rPr>
          <w:t>22</w:t>
        </w:r>
        <w:r>
          <w:rPr>
            <w:noProof/>
          </w:rPr>
          <w:fldChar w:fldCharType="end"/>
        </w:r>
      </w:p>
    </w:sdtContent>
  </w:sdt>
  <w:p w14:paraId="425A6BE2" w14:textId="77777777" w:rsidR="0037637A" w:rsidRDefault="0037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153C" w14:textId="77777777" w:rsidR="00404E1C" w:rsidRDefault="00404E1C" w:rsidP="00B170BB">
      <w:r>
        <w:separator/>
      </w:r>
    </w:p>
  </w:footnote>
  <w:footnote w:type="continuationSeparator" w:id="0">
    <w:p w14:paraId="511DF2EF" w14:textId="77777777" w:rsidR="00404E1C" w:rsidRDefault="00404E1C" w:rsidP="00B170BB">
      <w:r>
        <w:continuationSeparator/>
      </w:r>
    </w:p>
  </w:footnote>
  <w:footnote w:id="1">
    <w:p w14:paraId="33E8F898" w14:textId="664B36B5" w:rsidR="000C7475" w:rsidRDefault="000C7475">
      <w:pPr>
        <w:pStyle w:val="FootnoteText"/>
      </w:pPr>
      <w:bookmarkStart w:id="0" w:name="_GoBack"/>
      <w:bookmarkEnd w:id="0"/>
      <w:r w:rsidRPr="00141157">
        <w:rPr>
          <w:rStyle w:val="FootnoteReference"/>
          <w:highlight w:val="red"/>
        </w:rPr>
        <w:footnoteRef/>
      </w:r>
      <w:r w:rsidRPr="00141157">
        <w:rPr>
          <w:highlight w:val="red"/>
        </w:rPr>
        <w:t xml:space="preserve"> </w:t>
      </w:r>
      <w:r w:rsidRPr="00141157">
        <w:rPr>
          <w:rFonts w:ascii="Times New Roman" w:hAnsi="Times New Roman" w:cs="Times New Roman"/>
          <w:color w:val="auto"/>
          <w:sz w:val="24"/>
          <w:szCs w:val="24"/>
          <w:highlight w:val="red"/>
        </w:rPr>
        <w:t>Created by Nora E Kirk and Oluwadamilola Obaro through the NYU Immigrant Rights Clinic.</w:t>
      </w:r>
    </w:p>
  </w:footnote>
  <w:footnote w:id="2">
    <w:p w14:paraId="3DCE2233" w14:textId="7A174E93" w:rsidR="00641780" w:rsidRPr="00C516BB" w:rsidRDefault="00641780" w:rsidP="00641780">
      <w:pPr>
        <w:spacing w:after="240"/>
        <w:rPr>
          <w:rFonts w:eastAsia="Times New Roman"/>
          <w:sz w:val="20"/>
          <w:szCs w:val="20"/>
        </w:rPr>
      </w:pPr>
      <w:r w:rsidRPr="00C516BB">
        <w:rPr>
          <w:rStyle w:val="FootnoteReference"/>
          <w:sz w:val="20"/>
          <w:szCs w:val="20"/>
        </w:rPr>
        <w:footnoteRef/>
      </w:r>
      <w:r w:rsidRPr="00C516BB">
        <w:rPr>
          <w:sz w:val="20"/>
          <w:szCs w:val="20"/>
        </w:rPr>
        <w:t xml:space="preserve"> In </w:t>
      </w:r>
      <w:r w:rsidRPr="00C516BB">
        <w:rPr>
          <w:i/>
          <w:sz w:val="20"/>
          <w:szCs w:val="20"/>
        </w:rPr>
        <w:t>Lane</w:t>
      </w:r>
      <w:r w:rsidRPr="00C516BB">
        <w:rPr>
          <w:sz w:val="20"/>
          <w:szCs w:val="20"/>
        </w:rPr>
        <w:t>, the Court considered court-provided accommodations under Title II of the Americans with Disabilities Act</w:t>
      </w:r>
      <w:r w:rsidR="007221D5">
        <w:rPr>
          <w:sz w:val="20"/>
          <w:szCs w:val="20"/>
        </w:rPr>
        <w:t xml:space="preserve"> (ADA)</w:t>
      </w:r>
      <w:r w:rsidRPr="00C516BB">
        <w:rPr>
          <w:sz w:val="20"/>
          <w:szCs w:val="20"/>
        </w:rPr>
        <w:t xml:space="preserve">. Although the ADA does not apply to federal entities, both Acts prescribe the exact same obligations and courts generally consider both provisions interchangeably. </w:t>
      </w:r>
      <w:r w:rsidRPr="00C516BB">
        <w:rPr>
          <w:i/>
          <w:sz w:val="20"/>
          <w:szCs w:val="20"/>
        </w:rPr>
        <w:t xml:space="preserve">See </w:t>
      </w:r>
      <w:r w:rsidRPr="00C516BB">
        <w:rPr>
          <w:rFonts w:eastAsia="Times New Roman"/>
          <w:i/>
          <w:sz w:val="20"/>
          <w:szCs w:val="20"/>
        </w:rPr>
        <w:t>Harris v. Mills</w:t>
      </w:r>
      <w:r w:rsidRPr="00C516BB">
        <w:rPr>
          <w:rFonts w:eastAsia="Times New Roman"/>
          <w:sz w:val="20"/>
          <w:szCs w:val="20"/>
        </w:rPr>
        <w:t>, 572 F.3d 66, 73 (</w:t>
      </w:r>
      <w:proofErr w:type="gramStart"/>
      <w:r w:rsidRPr="00C516BB">
        <w:rPr>
          <w:rFonts w:eastAsia="Times New Roman"/>
          <w:sz w:val="20"/>
          <w:szCs w:val="20"/>
        </w:rPr>
        <w:t>2d</w:t>
      </w:r>
      <w:proofErr w:type="gramEnd"/>
      <w:r w:rsidRPr="00C516BB">
        <w:rPr>
          <w:rFonts w:eastAsia="Times New Roman"/>
          <w:sz w:val="20"/>
          <w:szCs w:val="20"/>
        </w:rPr>
        <w:t xml:space="preserve"> Cir. 2009) (“[I]n most cases, the standards are the same for actions under both statutes.”)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06F"/>
    <w:multiLevelType w:val="hybridMultilevel"/>
    <w:tmpl w:val="7DBAC782"/>
    <w:lvl w:ilvl="0" w:tplc="F684F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7D8"/>
    <w:multiLevelType w:val="hybridMultilevel"/>
    <w:tmpl w:val="2CF88B58"/>
    <w:lvl w:ilvl="0" w:tplc="FF16B7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C0F49"/>
    <w:multiLevelType w:val="hybridMultilevel"/>
    <w:tmpl w:val="34180DAE"/>
    <w:lvl w:ilvl="0" w:tplc="34089C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14D9C"/>
    <w:multiLevelType w:val="hybridMultilevel"/>
    <w:tmpl w:val="487050DE"/>
    <w:lvl w:ilvl="0" w:tplc="9F04F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0928"/>
    <w:multiLevelType w:val="hybridMultilevel"/>
    <w:tmpl w:val="E7265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129"/>
    <w:multiLevelType w:val="hybridMultilevel"/>
    <w:tmpl w:val="0A3859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C57B2"/>
    <w:multiLevelType w:val="hybridMultilevel"/>
    <w:tmpl w:val="7C52E7B6"/>
    <w:lvl w:ilvl="0" w:tplc="136ECF9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34F32"/>
    <w:multiLevelType w:val="hybridMultilevel"/>
    <w:tmpl w:val="A0FED438"/>
    <w:lvl w:ilvl="0" w:tplc="EC38D2A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5157B"/>
    <w:multiLevelType w:val="hybridMultilevel"/>
    <w:tmpl w:val="B2C48B22"/>
    <w:lvl w:ilvl="0" w:tplc="0574ACA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E47965"/>
    <w:multiLevelType w:val="hybridMultilevel"/>
    <w:tmpl w:val="9626A4FA"/>
    <w:lvl w:ilvl="0" w:tplc="C2CCC1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463A"/>
    <w:multiLevelType w:val="hybridMultilevel"/>
    <w:tmpl w:val="34180DAE"/>
    <w:lvl w:ilvl="0" w:tplc="34089C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C020C"/>
    <w:multiLevelType w:val="hybridMultilevel"/>
    <w:tmpl w:val="7D7A1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814A7D"/>
    <w:multiLevelType w:val="hybridMultilevel"/>
    <w:tmpl w:val="DD603FA8"/>
    <w:lvl w:ilvl="0" w:tplc="6D0AAB0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85725"/>
    <w:multiLevelType w:val="hybridMultilevel"/>
    <w:tmpl w:val="BF743E5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9070E"/>
    <w:multiLevelType w:val="hybridMultilevel"/>
    <w:tmpl w:val="D2FED844"/>
    <w:lvl w:ilvl="0" w:tplc="396657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DF4708"/>
    <w:multiLevelType w:val="hybridMultilevel"/>
    <w:tmpl w:val="3E6288B4"/>
    <w:lvl w:ilvl="0" w:tplc="C830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74A55"/>
    <w:multiLevelType w:val="hybridMultilevel"/>
    <w:tmpl w:val="B946217A"/>
    <w:lvl w:ilvl="0" w:tplc="3432F20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0"/>
  </w:num>
  <w:num w:numId="5">
    <w:abstractNumId w:val="1"/>
  </w:num>
  <w:num w:numId="6">
    <w:abstractNumId w:val="4"/>
  </w:num>
  <w:num w:numId="7">
    <w:abstractNumId w:val="9"/>
  </w:num>
  <w:num w:numId="8">
    <w:abstractNumId w:val="13"/>
  </w:num>
  <w:num w:numId="9">
    <w:abstractNumId w:val="2"/>
  </w:num>
  <w:num w:numId="10">
    <w:abstractNumId w:val="11"/>
  </w:num>
  <w:num w:numId="11">
    <w:abstractNumId w:val="5"/>
  </w:num>
  <w:num w:numId="12">
    <w:abstractNumId w:val="7"/>
  </w:num>
  <w:num w:numId="13">
    <w:abstractNumId w:val="16"/>
  </w:num>
  <w:num w:numId="14">
    <w:abstractNumId w:val="14"/>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1t7Q0NTIzNLEwMjZU0lEKTi0uzszPAykwqgUAnt0YdiwAAAA="/>
  </w:docVars>
  <w:rsids>
    <w:rsidRoot w:val="00F72E6F"/>
    <w:rsid w:val="00003B3E"/>
    <w:rsid w:val="00004F10"/>
    <w:rsid w:val="00006596"/>
    <w:rsid w:val="0001316C"/>
    <w:rsid w:val="00016F48"/>
    <w:rsid w:val="00024504"/>
    <w:rsid w:val="00024F33"/>
    <w:rsid w:val="000266CE"/>
    <w:rsid w:val="0003374F"/>
    <w:rsid w:val="000431BB"/>
    <w:rsid w:val="000442B4"/>
    <w:rsid w:val="00055670"/>
    <w:rsid w:val="000632E6"/>
    <w:rsid w:val="00070297"/>
    <w:rsid w:val="000730B0"/>
    <w:rsid w:val="000752E8"/>
    <w:rsid w:val="0007563D"/>
    <w:rsid w:val="00077A08"/>
    <w:rsid w:val="00091D1A"/>
    <w:rsid w:val="00096E65"/>
    <w:rsid w:val="000A1C67"/>
    <w:rsid w:val="000A5E6B"/>
    <w:rsid w:val="000B346D"/>
    <w:rsid w:val="000B58BB"/>
    <w:rsid w:val="000C67C2"/>
    <w:rsid w:val="000C7475"/>
    <w:rsid w:val="000C7AD3"/>
    <w:rsid w:val="000D03C4"/>
    <w:rsid w:val="000D12F4"/>
    <w:rsid w:val="000D2473"/>
    <w:rsid w:val="000D3C3A"/>
    <w:rsid w:val="000E0878"/>
    <w:rsid w:val="000E4CBF"/>
    <w:rsid w:val="000E71E3"/>
    <w:rsid w:val="000E786F"/>
    <w:rsid w:val="000F41F4"/>
    <w:rsid w:val="001072C8"/>
    <w:rsid w:val="001100FD"/>
    <w:rsid w:val="00110427"/>
    <w:rsid w:val="001129DE"/>
    <w:rsid w:val="001148D7"/>
    <w:rsid w:val="00117C94"/>
    <w:rsid w:val="001233FC"/>
    <w:rsid w:val="00125439"/>
    <w:rsid w:val="00131AAE"/>
    <w:rsid w:val="001325F8"/>
    <w:rsid w:val="00132873"/>
    <w:rsid w:val="00141157"/>
    <w:rsid w:val="00141B95"/>
    <w:rsid w:val="0014361A"/>
    <w:rsid w:val="0014749D"/>
    <w:rsid w:val="0015262C"/>
    <w:rsid w:val="00153167"/>
    <w:rsid w:val="00172882"/>
    <w:rsid w:val="00174B89"/>
    <w:rsid w:val="00192DF3"/>
    <w:rsid w:val="00193844"/>
    <w:rsid w:val="001A0BB3"/>
    <w:rsid w:val="001A1BFE"/>
    <w:rsid w:val="001A644F"/>
    <w:rsid w:val="001B0796"/>
    <w:rsid w:val="001C3D3C"/>
    <w:rsid w:val="001C6238"/>
    <w:rsid w:val="001D37C4"/>
    <w:rsid w:val="001D53E7"/>
    <w:rsid w:val="001E51DF"/>
    <w:rsid w:val="001E7CA8"/>
    <w:rsid w:val="001F4077"/>
    <w:rsid w:val="00205571"/>
    <w:rsid w:val="00207C07"/>
    <w:rsid w:val="00211D44"/>
    <w:rsid w:val="00215774"/>
    <w:rsid w:val="00216E90"/>
    <w:rsid w:val="002355FD"/>
    <w:rsid w:val="002447D3"/>
    <w:rsid w:val="0024673D"/>
    <w:rsid w:val="00252EA1"/>
    <w:rsid w:val="00255C2F"/>
    <w:rsid w:val="002603D5"/>
    <w:rsid w:val="002653AE"/>
    <w:rsid w:val="00266988"/>
    <w:rsid w:val="0026793B"/>
    <w:rsid w:val="00270A1A"/>
    <w:rsid w:val="00280005"/>
    <w:rsid w:val="002813B8"/>
    <w:rsid w:val="00285141"/>
    <w:rsid w:val="00296C61"/>
    <w:rsid w:val="002A1503"/>
    <w:rsid w:val="002A19DB"/>
    <w:rsid w:val="002A25DC"/>
    <w:rsid w:val="002A3886"/>
    <w:rsid w:val="002A691D"/>
    <w:rsid w:val="002B007C"/>
    <w:rsid w:val="002B0AD0"/>
    <w:rsid w:val="002B107F"/>
    <w:rsid w:val="002B199F"/>
    <w:rsid w:val="002C0124"/>
    <w:rsid w:val="002C2047"/>
    <w:rsid w:val="002C39A4"/>
    <w:rsid w:val="002C6A48"/>
    <w:rsid w:val="002D426D"/>
    <w:rsid w:val="002E3F6F"/>
    <w:rsid w:val="002F2B79"/>
    <w:rsid w:val="002F5933"/>
    <w:rsid w:val="002F6C93"/>
    <w:rsid w:val="003118D6"/>
    <w:rsid w:val="00313D0F"/>
    <w:rsid w:val="00315D16"/>
    <w:rsid w:val="00315F4E"/>
    <w:rsid w:val="00327597"/>
    <w:rsid w:val="00335FDE"/>
    <w:rsid w:val="00342FDE"/>
    <w:rsid w:val="00344A14"/>
    <w:rsid w:val="00344BD3"/>
    <w:rsid w:val="0035254B"/>
    <w:rsid w:val="00357F10"/>
    <w:rsid w:val="00362B1B"/>
    <w:rsid w:val="00362D7E"/>
    <w:rsid w:val="003736E6"/>
    <w:rsid w:val="0037637A"/>
    <w:rsid w:val="00376C6F"/>
    <w:rsid w:val="0038092D"/>
    <w:rsid w:val="00386852"/>
    <w:rsid w:val="00386EAB"/>
    <w:rsid w:val="003943AD"/>
    <w:rsid w:val="00396BAC"/>
    <w:rsid w:val="003A7C92"/>
    <w:rsid w:val="003B546A"/>
    <w:rsid w:val="003B664F"/>
    <w:rsid w:val="003C061E"/>
    <w:rsid w:val="003C0FDB"/>
    <w:rsid w:val="003D0FAA"/>
    <w:rsid w:val="003D2806"/>
    <w:rsid w:val="003D3FD0"/>
    <w:rsid w:val="003F127F"/>
    <w:rsid w:val="003F284C"/>
    <w:rsid w:val="003F4DDD"/>
    <w:rsid w:val="00404E1C"/>
    <w:rsid w:val="00406DBB"/>
    <w:rsid w:val="00417EBA"/>
    <w:rsid w:val="004246BE"/>
    <w:rsid w:val="004264AC"/>
    <w:rsid w:val="0043487B"/>
    <w:rsid w:val="00435488"/>
    <w:rsid w:val="00451775"/>
    <w:rsid w:val="004674BB"/>
    <w:rsid w:val="004737C1"/>
    <w:rsid w:val="004821DE"/>
    <w:rsid w:val="00487B61"/>
    <w:rsid w:val="004A12A7"/>
    <w:rsid w:val="004A2489"/>
    <w:rsid w:val="004A7004"/>
    <w:rsid w:val="004A76C0"/>
    <w:rsid w:val="004B652B"/>
    <w:rsid w:val="004C2AC8"/>
    <w:rsid w:val="004E24EC"/>
    <w:rsid w:val="004E6106"/>
    <w:rsid w:val="004F7E8A"/>
    <w:rsid w:val="005012A0"/>
    <w:rsid w:val="00502DF1"/>
    <w:rsid w:val="00506B47"/>
    <w:rsid w:val="005111D1"/>
    <w:rsid w:val="005130E0"/>
    <w:rsid w:val="005131A4"/>
    <w:rsid w:val="005147E6"/>
    <w:rsid w:val="00515C42"/>
    <w:rsid w:val="00520751"/>
    <w:rsid w:val="005252E9"/>
    <w:rsid w:val="00532840"/>
    <w:rsid w:val="00542E15"/>
    <w:rsid w:val="00545A33"/>
    <w:rsid w:val="00547234"/>
    <w:rsid w:val="0055273E"/>
    <w:rsid w:val="00555BDA"/>
    <w:rsid w:val="005612FB"/>
    <w:rsid w:val="00583A96"/>
    <w:rsid w:val="0058468B"/>
    <w:rsid w:val="0058501D"/>
    <w:rsid w:val="00585876"/>
    <w:rsid w:val="005A3203"/>
    <w:rsid w:val="005A4CE7"/>
    <w:rsid w:val="005B1182"/>
    <w:rsid w:val="005B3F5A"/>
    <w:rsid w:val="005C118E"/>
    <w:rsid w:val="005D04C9"/>
    <w:rsid w:val="005D22E8"/>
    <w:rsid w:val="005D71F7"/>
    <w:rsid w:val="005E3019"/>
    <w:rsid w:val="005E6C3C"/>
    <w:rsid w:val="005F38CA"/>
    <w:rsid w:val="0060013B"/>
    <w:rsid w:val="006038CD"/>
    <w:rsid w:val="00605752"/>
    <w:rsid w:val="006308FC"/>
    <w:rsid w:val="00631F99"/>
    <w:rsid w:val="00632056"/>
    <w:rsid w:val="006321A8"/>
    <w:rsid w:val="00640585"/>
    <w:rsid w:val="00641780"/>
    <w:rsid w:val="00642D29"/>
    <w:rsid w:val="00645C4E"/>
    <w:rsid w:val="00652EA2"/>
    <w:rsid w:val="00652F9F"/>
    <w:rsid w:val="00657CE1"/>
    <w:rsid w:val="006604D8"/>
    <w:rsid w:val="00660CF8"/>
    <w:rsid w:val="00675BA7"/>
    <w:rsid w:val="00680174"/>
    <w:rsid w:val="00681318"/>
    <w:rsid w:val="00687EF3"/>
    <w:rsid w:val="0069101B"/>
    <w:rsid w:val="006971E0"/>
    <w:rsid w:val="006A1A43"/>
    <w:rsid w:val="006A50EF"/>
    <w:rsid w:val="006B03F1"/>
    <w:rsid w:val="006B2F28"/>
    <w:rsid w:val="006C744C"/>
    <w:rsid w:val="006C7F5C"/>
    <w:rsid w:val="006D2D07"/>
    <w:rsid w:val="006E372C"/>
    <w:rsid w:val="006E498A"/>
    <w:rsid w:val="006E5A15"/>
    <w:rsid w:val="006E7CC2"/>
    <w:rsid w:val="006F71D1"/>
    <w:rsid w:val="006F7985"/>
    <w:rsid w:val="00702C04"/>
    <w:rsid w:val="00711703"/>
    <w:rsid w:val="00712168"/>
    <w:rsid w:val="00714F78"/>
    <w:rsid w:val="007221D5"/>
    <w:rsid w:val="00724773"/>
    <w:rsid w:val="00735890"/>
    <w:rsid w:val="00740B43"/>
    <w:rsid w:val="00742C4F"/>
    <w:rsid w:val="0074543F"/>
    <w:rsid w:val="007471CA"/>
    <w:rsid w:val="00755747"/>
    <w:rsid w:val="0075576C"/>
    <w:rsid w:val="007562CF"/>
    <w:rsid w:val="007577EF"/>
    <w:rsid w:val="007603FA"/>
    <w:rsid w:val="0076051F"/>
    <w:rsid w:val="00760A3A"/>
    <w:rsid w:val="00765FC6"/>
    <w:rsid w:val="007711C1"/>
    <w:rsid w:val="007715E4"/>
    <w:rsid w:val="00780EE4"/>
    <w:rsid w:val="007860C5"/>
    <w:rsid w:val="00786669"/>
    <w:rsid w:val="00787C32"/>
    <w:rsid w:val="00792331"/>
    <w:rsid w:val="00792C48"/>
    <w:rsid w:val="007935A8"/>
    <w:rsid w:val="007942D5"/>
    <w:rsid w:val="007972C3"/>
    <w:rsid w:val="007A2EDE"/>
    <w:rsid w:val="007A3416"/>
    <w:rsid w:val="007A4B12"/>
    <w:rsid w:val="007B3A8F"/>
    <w:rsid w:val="007B446C"/>
    <w:rsid w:val="007B525A"/>
    <w:rsid w:val="007C13A6"/>
    <w:rsid w:val="007C395A"/>
    <w:rsid w:val="007C4144"/>
    <w:rsid w:val="007C5854"/>
    <w:rsid w:val="007C6B5D"/>
    <w:rsid w:val="007D3616"/>
    <w:rsid w:val="007D6311"/>
    <w:rsid w:val="007D6CD7"/>
    <w:rsid w:val="007D7A3B"/>
    <w:rsid w:val="007D7FC2"/>
    <w:rsid w:val="007F2AF9"/>
    <w:rsid w:val="007F7AEB"/>
    <w:rsid w:val="008003AB"/>
    <w:rsid w:val="0080657F"/>
    <w:rsid w:val="00812712"/>
    <w:rsid w:val="00813796"/>
    <w:rsid w:val="0081584D"/>
    <w:rsid w:val="00817FB8"/>
    <w:rsid w:val="00827988"/>
    <w:rsid w:val="00840CA1"/>
    <w:rsid w:val="0084377A"/>
    <w:rsid w:val="00847D32"/>
    <w:rsid w:val="00854ADE"/>
    <w:rsid w:val="00864166"/>
    <w:rsid w:val="008710A5"/>
    <w:rsid w:val="00875409"/>
    <w:rsid w:val="008807A0"/>
    <w:rsid w:val="00891832"/>
    <w:rsid w:val="00895AFF"/>
    <w:rsid w:val="008A5BD4"/>
    <w:rsid w:val="008B15B2"/>
    <w:rsid w:val="008B2377"/>
    <w:rsid w:val="008B3E9B"/>
    <w:rsid w:val="008C2532"/>
    <w:rsid w:val="008C25A9"/>
    <w:rsid w:val="008C3306"/>
    <w:rsid w:val="008C440B"/>
    <w:rsid w:val="008D1D0E"/>
    <w:rsid w:val="008D7D0D"/>
    <w:rsid w:val="008E49EE"/>
    <w:rsid w:val="008F08CE"/>
    <w:rsid w:val="008F6B63"/>
    <w:rsid w:val="00902A8F"/>
    <w:rsid w:val="009049FF"/>
    <w:rsid w:val="00906E7B"/>
    <w:rsid w:val="0091571F"/>
    <w:rsid w:val="00916D7F"/>
    <w:rsid w:val="00922B6C"/>
    <w:rsid w:val="009348DD"/>
    <w:rsid w:val="0094297F"/>
    <w:rsid w:val="00951036"/>
    <w:rsid w:val="009522E4"/>
    <w:rsid w:val="00953DA3"/>
    <w:rsid w:val="00953FC6"/>
    <w:rsid w:val="00961A78"/>
    <w:rsid w:val="00984430"/>
    <w:rsid w:val="00992DD9"/>
    <w:rsid w:val="00994C28"/>
    <w:rsid w:val="00995DC3"/>
    <w:rsid w:val="009A7E5E"/>
    <w:rsid w:val="009B33FC"/>
    <w:rsid w:val="009B474D"/>
    <w:rsid w:val="009B561A"/>
    <w:rsid w:val="009B5DB0"/>
    <w:rsid w:val="009C0DDF"/>
    <w:rsid w:val="009C1B99"/>
    <w:rsid w:val="009C4D77"/>
    <w:rsid w:val="009C6CCE"/>
    <w:rsid w:val="009D4D26"/>
    <w:rsid w:val="009D50A5"/>
    <w:rsid w:val="00A00C3E"/>
    <w:rsid w:val="00A0259C"/>
    <w:rsid w:val="00A034A8"/>
    <w:rsid w:val="00A17B09"/>
    <w:rsid w:val="00A17DAD"/>
    <w:rsid w:val="00A2255E"/>
    <w:rsid w:val="00A3104D"/>
    <w:rsid w:val="00A37656"/>
    <w:rsid w:val="00A44EA3"/>
    <w:rsid w:val="00A50703"/>
    <w:rsid w:val="00A53738"/>
    <w:rsid w:val="00A62D52"/>
    <w:rsid w:val="00A72526"/>
    <w:rsid w:val="00A80DD9"/>
    <w:rsid w:val="00A81424"/>
    <w:rsid w:val="00A84579"/>
    <w:rsid w:val="00A8556C"/>
    <w:rsid w:val="00AA17AD"/>
    <w:rsid w:val="00AA1820"/>
    <w:rsid w:val="00AA4DC4"/>
    <w:rsid w:val="00AB2096"/>
    <w:rsid w:val="00AB2CC2"/>
    <w:rsid w:val="00AB6FC4"/>
    <w:rsid w:val="00AC1524"/>
    <w:rsid w:val="00AC410F"/>
    <w:rsid w:val="00AD410C"/>
    <w:rsid w:val="00AE0D5E"/>
    <w:rsid w:val="00AE3402"/>
    <w:rsid w:val="00AE658B"/>
    <w:rsid w:val="00AF2A0D"/>
    <w:rsid w:val="00AF3113"/>
    <w:rsid w:val="00AF6E77"/>
    <w:rsid w:val="00B02235"/>
    <w:rsid w:val="00B048E8"/>
    <w:rsid w:val="00B04D97"/>
    <w:rsid w:val="00B05231"/>
    <w:rsid w:val="00B13E05"/>
    <w:rsid w:val="00B1660D"/>
    <w:rsid w:val="00B170BB"/>
    <w:rsid w:val="00B21F5A"/>
    <w:rsid w:val="00B268B7"/>
    <w:rsid w:val="00B30B71"/>
    <w:rsid w:val="00B423EA"/>
    <w:rsid w:val="00B42AE8"/>
    <w:rsid w:val="00B50122"/>
    <w:rsid w:val="00B52DD5"/>
    <w:rsid w:val="00B54BE7"/>
    <w:rsid w:val="00B55B28"/>
    <w:rsid w:val="00B63014"/>
    <w:rsid w:val="00B665D0"/>
    <w:rsid w:val="00B7053C"/>
    <w:rsid w:val="00B77223"/>
    <w:rsid w:val="00B81270"/>
    <w:rsid w:val="00B83091"/>
    <w:rsid w:val="00B83D4D"/>
    <w:rsid w:val="00BA3FEB"/>
    <w:rsid w:val="00BA649D"/>
    <w:rsid w:val="00BA7218"/>
    <w:rsid w:val="00BB251E"/>
    <w:rsid w:val="00BB4740"/>
    <w:rsid w:val="00BB4E09"/>
    <w:rsid w:val="00BC0ED2"/>
    <w:rsid w:val="00BD04B1"/>
    <w:rsid w:val="00BD216A"/>
    <w:rsid w:val="00BE5A00"/>
    <w:rsid w:val="00BF0ECE"/>
    <w:rsid w:val="00BF125F"/>
    <w:rsid w:val="00BF7483"/>
    <w:rsid w:val="00C040F5"/>
    <w:rsid w:val="00C05950"/>
    <w:rsid w:val="00C22697"/>
    <w:rsid w:val="00C243F9"/>
    <w:rsid w:val="00C3259C"/>
    <w:rsid w:val="00C422F9"/>
    <w:rsid w:val="00C42A82"/>
    <w:rsid w:val="00C516BB"/>
    <w:rsid w:val="00C706AB"/>
    <w:rsid w:val="00C71509"/>
    <w:rsid w:val="00C842E8"/>
    <w:rsid w:val="00C91A07"/>
    <w:rsid w:val="00C93F01"/>
    <w:rsid w:val="00CA012B"/>
    <w:rsid w:val="00CC028E"/>
    <w:rsid w:val="00CC0CCE"/>
    <w:rsid w:val="00CC16ED"/>
    <w:rsid w:val="00CC7214"/>
    <w:rsid w:val="00CD1239"/>
    <w:rsid w:val="00CD1B22"/>
    <w:rsid w:val="00CD2059"/>
    <w:rsid w:val="00CD251C"/>
    <w:rsid w:val="00CD2BD6"/>
    <w:rsid w:val="00CE2822"/>
    <w:rsid w:val="00CE2BE1"/>
    <w:rsid w:val="00CE5EA7"/>
    <w:rsid w:val="00D00DF2"/>
    <w:rsid w:val="00D012A4"/>
    <w:rsid w:val="00D054DA"/>
    <w:rsid w:val="00D0785E"/>
    <w:rsid w:val="00D1763A"/>
    <w:rsid w:val="00D21B9B"/>
    <w:rsid w:val="00D24DAB"/>
    <w:rsid w:val="00D30571"/>
    <w:rsid w:val="00D32864"/>
    <w:rsid w:val="00D32CD1"/>
    <w:rsid w:val="00D37E44"/>
    <w:rsid w:val="00D40C78"/>
    <w:rsid w:val="00D50BCE"/>
    <w:rsid w:val="00D601B7"/>
    <w:rsid w:val="00D6317D"/>
    <w:rsid w:val="00D7063C"/>
    <w:rsid w:val="00D7383B"/>
    <w:rsid w:val="00D7389D"/>
    <w:rsid w:val="00D84FF2"/>
    <w:rsid w:val="00D94325"/>
    <w:rsid w:val="00D95CCA"/>
    <w:rsid w:val="00D96005"/>
    <w:rsid w:val="00D97EF7"/>
    <w:rsid w:val="00DA06D0"/>
    <w:rsid w:val="00DA40A4"/>
    <w:rsid w:val="00DA4766"/>
    <w:rsid w:val="00DB092C"/>
    <w:rsid w:val="00DB6707"/>
    <w:rsid w:val="00DC0AF8"/>
    <w:rsid w:val="00DC0D9B"/>
    <w:rsid w:val="00DC4CA0"/>
    <w:rsid w:val="00DC5300"/>
    <w:rsid w:val="00DC734B"/>
    <w:rsid w:val="00DD23E5"/>
    <w:rsid w:val="00DD5CA4"/>
    <w:rsid w:val="00DD646B"/>
    <w:rsid w:val="00DF28D6"/>
    <w:rsid w:val="00E03E23"/>
    <w:rsid w:val="00E06A32"/>
    <w:rsid w:val="00E07FBB"/>
    <w:rsid w:val="00E138B2"/>
    <w:rsid w:val="00E2071A"/>
    <w:rsid w:val="00E21069"/>
    <w:rsid w:val="00E2428E"/>
    <w:rsid w:val="00E279B1"/>
    <w:rsid w:val="00E30B5C"/>
    <w:rsid w:val="00E524ED"/>
    <w:rsid w:val="00E571BB"/>
    <w:rsid w:val="00E60808"/>
    <w:rsid w:val="00E728C2"/>
    <w:rsid w:val="00E75CA8"/>
    <w:rsid w:val="00E768DE"/>
    <w:rsid w:val="00E94EBF"/>
    <w:rsid w:val="00EA271B"/>
    <w:rsid w:val="00EA44D3"/>
    <w:rsid w:val="00EA72BB"/>
    <w:rsid w:val="00EA7C9C"/>
    <w:rsid w:val="00EB2589"/>
    <w:rsid w:val="00EB4140"/>
    <w:rsid w:val="00EB67E8"/>
    <w:rsid w:val="00EC01F1"/>
    <w:rsid w:val="00EC09EF"/>
    <w:rsid w:val="00EC1604"/>
    <w:rsid w:val="00EC698E"/>
    <w:rsid w:val="00ED0E83"/>
    <w:rsid w:val="00EE1DD6"/>
    <w:rsid w:val="00EE28EB"/>
    <w:rsid w:val="00EF4E47"/>
    <w:rsid w:val="00EF6B1E"/>
    <w:rsid w:val="00F0513E"/>
    <w:rsid w:val="00F07DD9"/>
    <w:rsid w:val="00F11DBA"/>
    <w:rsid w:val="00F1593D"/>
    <w:rsid w:val="00F279FF"/>
    <w:rsid w:val="00F346CE"/>
    <w:rsid w:val="00F35082"/>
    <w:rsid w:val="00F4253B"/>
    <w:rsid w:val="00F61DDF"/>
    <w:rsid w:val="00F64416"/>
    <w:rsid w:val="00F65CB3"/>
    <w:rsid w:val="00F676C5"/>
    <w:rsid w:val="00F72E6F"/>
    <w:rsid w:val="00F759F6"/>
    <w:rsid w:val="00F81BAF"/>
    <w:rsid w:val="00F84644"/>
    <w:rsid w:val="00FA0872"/>
    <w:rsid w:val="00FB3BEC"/>
    <w:rsid w:val="00FC1A78"/>
    <w:rsid w:val="00FC2D06"/>
    <w:rsid w:val="00FC4B52"/>
    <w:rsid w:val="00FC7B0C"/>
    <w:rsid w:val="00FD22DB"/>
    <w:rsid w:val="00FF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0A43"/>
  <w15:docId w15:val="{DE20D364-4A76-4C02-B1F5-4895D50B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14"/>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8D1D0E"/>
  </w:style>
  <w:style w:type="character" w:styleId="Emphasis">
    <w:name w:val="Emphasis"/>
    <w:basedOn w:val="DefaultParagraphFont"/>
    <w:uiPriority w:val="20"/>
    <w:qFormat/>
    <w:rsid w:val="008D1D0E"/>
    <w:rPr>
      <w:i/>
      <w:iCs/>
    </w:rPr>
  </w:style>
  <w:style w:type="paragraph" w:styleId="FootnoteText">
    <w:name w:val="footnote text"/>
    <w:basedOn w:val="Normal"/>
    <w:link w:val="FootnoteTextChar"/>
    <w:uiPriority w:val="99"/>
    <w:unhideWhenUsed/>
    <w:rsid w:val="00B170BB"/>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rsid w:val="00B170BB"/>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B170B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170BB"/>
    <w:rPr>
      <w:rFonts w:eastAsiaTheme="minorEastAsia"/>
      <w:sz w:val="20"/>
      <w:szCs w:val="20"/>
    </w:rPr>
  </w:style>
  <w:style w:type="character" w:styleId="FootnoteReference">
    <w:name w:val="footnote reference"/>
    <w:basedOn w:val="DefaultParagraphFont"/>
    <w:uiPriority w:val="99"/>
    <w:unhideWhenUsed/>
    <w:rsid w:val="00B170BB"/>
    <w:rPr>
      <w:vertAlign w:val="superscript"/>
    </w:rPr>
  </w:style>
  <w:style w:type="character" w:styleId="CommentReference">
    <w:name w:val="annotation reference"/>
    <w:basedOn w:val="DefaultParagraphFont"/>
    <w:uiPriority w:val="99"/>
    <w:semiHidden/>
    <w:unhideWhenUsed/>
    <w:rsid w:val="00B170BB"/>
    <w:rPr>
      <w:sz w:val="16"/>
      <w:szCs w:val="16"/>
    </w:rPr>
  </w:style>
  <w:style w:type="paragraph" w:styleId="BalloonText">
    <w:name w:val="Balloon Text"/>
    <w:basedOn w:val="Normal"/>
    <w:link w:val="BalloonTextChar"/>
    <w:uiPriority w:val="99"/>
    <w:semiHidden/>
    <w:unhideWhenUsed/>
    <w:rsid w:val="00B17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238"/>
    <w:pPr>
      <w:spacing w:after="160"/>
    </w:pPr>
    <w:rPr>
      <w:rFonts w:eastAsiaTheme="minorHAnsi"/>
      <w:b/>
      <w:bCs/>
    </w:rPr>
  </w:style>
  <w:style w:type="character" w:customStyle="1" w:styleId="CommentSubjectChar">
    <w:name w:val="Comment Subject Char"/>
    <w:basedOn w:val="CommentTextChar"/>
    <w:link w:val="CommentSubject"/>
    <w:uiPriority w:val="99"/>
    <w:semiHidden/>
    <w:rsid w:val="001C6238"/>
    <w:rPr>
      <w:rFonts w:eastAsiaTheme="minorEastAsia"/>
      <w:b/>
      <w:bCs/>
      <w:sz w:val="20"/>
      <w:szCs w:val="20"/>
    </w:rPr>
  </w:style>
  <w:style w:type="paragraph" w:styleId="HTMLPreformatted">
    <w:name w:val="HTML Preformatted"/>
    <w:basedOn w:val="Normal"/>
    <w:link w:val="HTMLPreformattedChar"/>
    <w:uiPriority w:val="99"/>
    <w:unhideWhenUsed/>
    <w:rsid w:val="006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308FC"/>
    <w:rPr>
      <w:rFonts w:ascii="Courier New" w:hAnsi="Courier New" w:cs="Courier New"/>
      <w:sz w:val="20"/>
      <w:szCs w:val="20"/>
    </w:rPr>
  </w:style>
  <w:style w:type="character" w:customStyle="1" w:styleId="tx2">
    <w:name w:val="tx2"/>
    <w:basedOn w:val="DefaultParagraphFont"/>
    <w:rsid w:val="006321A8"/>
  </w:style>
  <w:style w:type="character" w:customStyle="1" w:styleId="m-7778423594856980938gmail-msofootnotereference">
    <w:name w:val="m_-7778423594856980938gmail-msofootnotereference"/>
    <w:basedOn w:val="DefaultParagraphFont"/>
    <w:rsid w:val="0014749D"/>
  </w:style>
  <w:style w:type="character" w:customStyle="1" w:styleId="m-7778423594856980938gmail-apple-converted-space">
    <w:name w:val="m_-7778423594856980938gmail-apple-converted-space"/>
    <w:basedOn w:val="DefaultParagraphFont"/>
    <w:rsid w:val="0014749D"/>
  </w:style>
  <w:style w:type="character" w:styleId="Hyperlink">
    <w:name w:val="Hyperlink"/>
    <w:basedOn w:val="DefaultParagraphFont"/>
    <w:uiPriority w:val="99"/>
    <w:unhideWhenUsed/>
    <w:rsid w:val="0014749D"/>
    <w:rPr>
      <w:color w:val="0000FF"/>
      <w:u w:val="single"/>
    </w:rPr>
  </w:style>
  <w:style w:type="character" w:customStyle="1" w:styleId="tx">
    <w:name w:val="tx"/>
    <w:basedOn w:val="DefaultParagraphFont"/>
    <w:rsid w:val="00D7389D"/>
  </w:style>
  <w:style w:type="paragraph" w:styleId="Header">
    <w:name w:val="header"/>
    <w:basedOn w:val="Normal"/>
    <w:link w:val="HeaderChar"/>
    <w:uiPriority w:val="99"/>
    <w:unhideWhenUsed/>
    <w:rsid w:val="0037637A"/>
    <w:pPr>
      <w:tabs>
        <w:tab w:val="center" w:pos="4680"/>
        <w:tab w:val="right" w:pos="9360"/>
      </w:tabs>
    </w:pPr>
  </w:style>
  <w:style w:type="character" w:customStyle="1" w:styleId="HeaderChar">
    <w:name w:val="Header Char"/>
    <w:basedOn w:val="DefaultParagraphFont"/>
    <w:link w:val="Header"/>
    <w:uiPriority w:val="99"/>
    <w:rsid w:val="0037637A"/>
    <w:rPr>
      <w:rFonts w:ascii="Times New Roman" w:hAnsi="Times New Roman" w:cs="Times New Roman"/>
      <w:sz w:val="24"/>
      <w:szCs w:val="24"/>
    </w:rPr>
  </w:style>
  <w:style w:type="paragraph" w:styleId="Footer">
    <w:name w:val="footer"/>
    <w:basedOn w:val="Normal"/>
    <w:link w:val="FooterChar"/>
    <w:uiPriority w:val="99"/>
    <w:unhideWhenUsed/>
    <w:rsid w:val="0037637A"/>
    <w:pPr>
      <w:tabs>
        <w:tab w:val="center" w:pos="4680"/>
        <w:tab w:val="right" w:pos="9360"/>
      </w:tabs>
    </w:pPr>
  </w:style>
  <w:style w:type="character" w:customStyle="1" w:styleId="FooterChar">
    <w:name w:val="Footer Char"/>
    <w:basedOn w:val="DefaultParagraphFont"/>
    <w:link w:val="Footer"/>
    <w:uiPriority w:val="99"/>
    <w:rsid w:val="0037637A"/>
    <w:rPr>
      <w:rFonts w:ascii="Times New Roman" w:hAnsi="Times New Roman" w:cs="Times New Roman"/>
      <w:sz w:val="24"/>
      <w:szCs w:val="24"/>
    </w:rPr>
  </w:style>
  <w:style w:type="paragraph" w:styleId="Caption">
    <w:name w:val="caption"/>
    <w:basedOn w:val="Normal"/>
    <w:next w:val="Normal"/>
    <w:qFormat/>
    <w:rsid w:val="000D3C3A"/>
    <w:pPr>
      <w:widowControl w:val="0"/>
    </w:pPr>
    <w:rPr>
      <w:rFonts w:eastAsia="Times New Roman"/>
      <w:bCs/>
      <w:sz w:val="26"/>
      <w:szCs w:val="20"/>
    </w:rPr>
  </w:style>
  <w:style w:type="paragraph" w:customStyle="1" w:styleId="FirmInformation">
    <w:name w:val="Firm Information"/>
    <w:basedOn w:val="Normal"/>
    <w:rsid w:val="000D3C3A"/>
    <w:pPr>
      <w:widowControl w:val="0"/>
      <w:ind w:right="144"/>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953">
      <w:bodyDiv w:val="1"/>
      <w:marLeft w:val="0"/>
      <w:marRight w:val="0"/>
      <w:marTop w:val="0"/>
      <w:marBottom w:val="0"/>
      <w:divBdr>
        <w:top w:val="none" w:sz="0" w:space="0" w:color="auto"/>
        <w:left w:val="none" w:sz="0" w:space="0" w:color="auto"/>
        <w:bottom w:val="none" w:sz="0" w:space="0" w:color="auto"/>
        <w:right w:val="none" w:sz="0" w:space="0" w:color="auto"/>
      </w:divBdr>
    </w:div>
    <w:div w:id="117645302">
      <w:bodyDiv w:val="1"/>
      <w:marLeft w:val="0"/>
      <w:marRight w:val="0"/>
      <w:marTop w:val="0"/>
      <w:marBottom w:val="0"/>
      <w:divBdr>
        <w:top w:val="none" w:sz="0" w:space="0" w:color="auto"/>
        <w:left w:val="none" w:sz="0" w:space="0" w:color="auto"/>
        <w:bottom w:val="none" w:sz="0" w:space="0" w:color="auto"/>
        <w:right w:val="none" w:sz="0" w:space="0" w:color="auto"/>
      </w:divBdr>
      <w:divsChild>
        <w:div w:id="1473671006">
          <w:marLeft w:val="0"/>
          <w:marRight w:val="0"/>
          <w:marTop w:val="0"/>
          <w:marBottom w:val="0"/>
          <w:divBdr>
            <w:top w:val="none" w:sz="0" w:space="0" w:color="auto"/>
            <w:left w:val="none" w:sz="0" w:space="0" w:color="auto"/>
            <w:bottom w:val="none" w:sz="0" w:space="0" w:color="auto"/>
            <w:right w:val="none" w:sz="0" w:space="0" w:color="auto"/>
          </w:divBdr>
          <w:divsChild>
            <w:div w:id="12109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2663">
      <w:bodyDiv w:val="1"/>
      <w:marLeft w:val="0"/>
      <w:marRight w:val="0"/>
      <w:marTop w:val="0"/>
      <w:marBottom w:val="0"/>
      <w:divBdr>
        <w:top w:val="none" w:sz="0" w:space="0" w:color="auto"/>
        <w:left w:val="none" w:sz="0" w:space="0" w:color="auto"/>
        <w:bottom w:val="none" w:sz="0" w:space="0" w:color="auto"/>
        <w:right w:val="none" w:sz="0" w:space="0" w:color="auto"/>
      </w:divBdr>
    </w:div>
    <w:div w:id="333455968">
      <w:bodyDiv w:val="1"/>
      <w:marLeft w:val="0"/>
      <w:marRight w:val="0"/>
      <w:marTop w:val="0"/>
      <w:marBottom w:val="0"/>
      <w:divBdr>
        <w:top w:val="none" w:sz="0" w:space="0" w:color="auto"/>
        <w:left w:val="none" w:sz="0" w:space="0" w:color="auto"/>
        <w:bottom w:val="none" w:sz="0" w:space="0" w:color="auto"/>
        <w:right w:val="none" w:sz="0" w:space="0" w:color="auto"/>
      </w:divBdr>
    </w:div>
    <w:div w:id="362947975">
      <w:bodyDiv w:val="1"/>
      <w:marLeft w:val="0"/>
      <w:marRight w:val="0"/>
      <w:marTop w:val="0"/>
      <w:marBottom w:val="0"/>
      <w:divBdr>
        <w:top w:val="none" w:sz="0" w:space="0" w:color="auto"/>
        <w:left w:val="none" w:sz="0" w:space="0" w:color="auto"/>
        <w:bottom w:val="none" w:sz="0" w:space="0" w:color="auto"/>
        <w:right w:val="none" w:sz="0" w:space="0" w:color="auto"/>
      </w:divBdr>
    </w:div>
    <w:div w:id="874929586">
      <w:bodyDiv w:val="1"/>
      <w:marLeft w:val="0"/>
      <w:marRight w:val="0"/>
      <w:marTop w:val="0"/>
      <w:marBottom w:val="0"/>
      <w:divBdr>
        <w:top w:val="none" w:sz="0" w:space="0" w:color="auto"/>
        <w:left w:val="none" w:sz="0" w:space="0" w:color="auto"/>
        <w:bottom w:val="none" w:sz="0" w:space="0" w:color="auto"/>
        <w:right w:val="none" w:sz="0" w:space="0" w:color="auto"/>
      </w:divBdr>
    </w:div>
    <w:div w:id="1045763253">
      <w:bodyDiv w:val="1"/>
      <w:marLeft w:val="0"/>
      <w:marRight w:val="0"/>
      <w:marTop w:val="0"/>
      <w:marBottom w:val="0"/>
      <w:divBdr>
        <w:top w:val="none" w:sz="0" w:space="0" w:color="auto"/>
        <w:left w:val="none" w:sz="0" w:space="0" w:color="auto"/>
        <w:bottom w:val="none" w:sz="0" w:space="0" w:color="auto"/>
        <w:right w:val="none" w:sz="0" w:space="0" w:color="auto"/>
      </w:divBdr>
      <w:divsChild>
        <w:div w:id="1734889246">
          <w:marLeft w:val="0"/>
          <w:marRight w:val="0"/>
          <w:marTop w:val="0"/>
          <w:marBottom w:val="0"/>
          <w:divBdr>
            <w:top w:val="none" w:sz="0" w:space="0" w:color="auto"/>
            <w:left w:val="none" w:sz="0" w:space="0" w:color="auto"/>
            <w:bottom w:val="none" w:sz="0" w:space="0" w:color="auto"/>
            <w:right w:val="none" w:sz="0" w:space="0" w:color="auto"/>
          </w:divBdr>
          <w:divsChild>
            <w:div w:id="568225502">
              <w:marLeft w:val="0"/>
              <w:marRight w:val="0"/>
              <w:marTop w:val="0"/>
              <w:marBottom w:val="0"/>
              <w:divBdr>
                <w:top w:val="none" w:sz="0" w:space="0" w:color="auto"/>
                <w:left w:val="none" w:sz="0" w:space="0" w:color="auto"/>
                <w:bottom w:val="none" w:sz="0" w:space="0" w:color="auto"/>
                <w:right w:val="none" w:sz="0" w:space="0" w:color="auto"/>
              </w:divBdr>
              <w:divsChild>
                <w:div w:id="2017076377">
                  <w:marLeft w:val="0"/>
                  <w:marRight w:val="0"/>
                  <w:marTop w:val="0"/>
                  <w:marBottom w:val="0"/>
                  <w:divBdr>
                    <w:top w:val="none" w:sz="0" w:space="0" w:color="auto"/>
                    <w:left w:val="none" w:sz="0" w:space="0" w:color="auto"/>
                    <w:bottom w:val="none" w:sz="0" w:space="0" w:color="auto"/>
                    <w:right w:val="none" w:sz="0" w:space="0" w:color="auto"/>
                  </w:divBdr>
                  <w:divsChild>
                    <w:div w:id="408575269">
                      <w:marLeft w:val="0"/>
                      <w:marRight w:val="0"/>
                      <w:marTop w:val="0"/>
                      <w:marBottom w:val="0"/>
                      <w:divBdr>
                        <w:top w:val="none" w:sz="0" w:space="0" w:color="auto"/>
                        <w:left w:val="none" w:sz="0" w:space="0" w:color="auto"/>
                        <w:bottom w:val="none" w:sz="0" w:space="0" w:color="auto"/>
                        <w:right w:val="none" w:sz="0" w:space="0" w:color="auto"/>
                      </w:divBdr>
                      <w:divsChild>
                        <w:div w:id="1887057657">
                          <w:marLeft w:val="0"/>
                          <w:marRight w:val="0"/>
                          <w:marTop w:val="0"/>
                          <w:marBottom w:val="0"/>
                          <w:divBdr>
                            <w:top w:val="none" w:sz="0" w:space="0" w:color="auto"/>
                            <w:left w:val="none" w:sz="0" w:space="0" w:color="auto"/>
                            <w:bottom w:val="none" w:sz="0" w:space="0" w:color="auto"/>
                            <w:right w:val="none" w:sz="0" w:space="0" w:color="auto"/>
                          </w:divBdr>
                          <w:divsChild>
                            <w:div w:id="2101754029">
                              <w:marLeft w:val="0"/>
                              <w:marRight w:val="0"/>
                              <w:marTop w:val="0"/>
                              <w:marBottom w:val="0"/>
                              <w:divBdr>
                                <w:top w:val="none" w:sz="0" w:space="0" w:color="auto"/>
                                <w:left w:val="none" w:sz="0" w:space="0" w:color="auto"/>
                                <w:bottom w:val="none" w:sz="0" w:space="0" w:color="auto"/>
                                <w:right w:val="none" w:sz="0" w:space="0" w:color="auto"/>
                              </w:divBdr>
                              <w:divsChild>
                                <w:div w:id="661349353">
                                  <w:marLeft w:val="0"/>
                                  <w:marRight w:val="0"/>
                                  <w:marTop w:val="0"/>
                                  <w:marBottom w:val="0"/>
                                  <w:divBdr>
                                    <w:top w:val="none" w:sz="0" w:space="0" w:color="auto"/>
                                    <w:left w:val="none" w:sz="0" w:space="0" w:color="auto"/>
                                    <w:bottom w:val="none" w:sz="0" w:space="0" w:color="auto"/>
                                    <w:right w:val="none" w:sz="0" w:space="0" w:color="auto"/>
                                  </w:divBdr>
                                  <w:divsChild>
                                    <w:div w:id="1817453441">
                                      <w:marLeft w:val="0"/>
                                      <w:marRight w:val="0"/>
                                      <w:marTop w:val="0"/>
                                      <w:marBottom w:val="0"/>
                                      <w:divBdr>
                                        <w:top w:val="none" w:sz="0" w:space="0" w:color="auto"/>
                                        <w:left w:val="none" w:sz="0" w:space="0" w:color="auto"/>
                                        <w:bottom w:val="none" w:sz="0" w:space="0" w:color="auto"/>
                                        <w:right w:val="none" w:sz="0" w:space="0" w:color="auto"/>
                                      </w:divBdr>
                                      <w:divsChild>
                                        <w:div w:id="796265749">
                                          <w:marLeft w:val="0"/>
                                          <w:marRight w:val="0"/>
                                          <w:marTop w:val="0"/>
                                          <w:marBottom w:val="0"/>
                                          <w:divBdr>
                                            <w:top w:val="none" w:sz="0" w:space="0" w:color="auto"/>
                                            <w:left w:val="none" w:sz="0" w:space="0" w:color="auto"/>
                                            <w:bottom w:val="none" w:sz="0" w:space="0" w:color="auto"/>
                                            <w:right w:val="none" w:sz="0" w:space="0" w:color="auto"/>
                                          </w:divBdr>
                                          <w:divsChild>
                                            <w:div w:id="1723138616">
                                              <w:marLeft w:val="0"/>
                                              <w:marRight w:val="0"/>
                                              <w:marTop w:val="0"/>
                                              <w:marBottom w:val="0"/>
                                              <w:divBdr>
                                                <w:top w:val="none" w:sz="0" w:space="0" w:color="auto"/>
                                                <w:left w:val="none" w:sz="0" w:space="0" w:color="auto"/>
                                                <w:bottom w:val="none" w:sz="0" w:space="0" w:color="auto"/>
                                                <w:right w:val="none" w:sz="0" w:space="0" w:color="auto"/>
                                              </w:divBdr>
                                              <w:divsChild>
                                                <w:div w:id="2061705634">
                                                  <w:marLeft w:val="0"/>
                                                  <w:marRight w:val="0"/>
                                                  <w:marTop w:val="0"/>
                                                  <w:marBottom w:val="0"/>
                                                  <w:divBdr>
                                                    <w:top w:val="none" w:sz="0" w:space="0" w:color="auto"/>
                                                    <w:left w:val="none" w:sz="0" w:space="0" w:color="auto"/>
                                                    <w:bottom w:val="none" w:sz="0" w:space="0" w:color="auto"/>
                                                    <w:right w:val="none" w:sz="0" w:space="0" w:color="auto"/>
                                                  </w:divBdr>
                                                  <w:divsChild>
                                                    <w:div w:id="374014265">
                                                      <w:marLeft w:val="0"/>
                                                      <w:marRight w:val="0"/>
                                                      <w:marTop w:val="0"/>
                                                      <w:marBottom w:val="0"/>
                                                      <w:divBdr>
                                                        <w:top w:val="none" w:sz="0" w:space="0" w:color="auto"/>
                                                        <w:left w:val="none" w:sz="0" w:space="0" w:color="auto"/>
                                                        <w:bottom w:val="none" w:sz="0" w:space="0" w:color="auto"/>
                                                        <w:right w:val="none" w:sz="0" w:space="0" w:color="auto"/>
                                                      </w:divBdr>
                                                      <w:divsChild>
                                                        <w:div w:id="1531067537">
                                                          <w:marLeft w:val="0"/>
                                                          <w:marRight w:val="0"/>
                                                          <w:marTop w:val="0"/>
                                                          <w:marBottom w:val="0"/>
                                                          <w:divBdr>
                                                            <w:top w:val="none" w:sz="0" w:space="0" w:color="auto"/>
                                                            <w:left w:val="none" w:sz="0" w:space="0" w:color="auto"/>
                                                            <w:bottom w:val="none" w:sz="0" w:space="0" w:color="auto"/>
                                                            <w:right w:val="none" w:sz="0" w:space="0" w:color="auto"/>
                                                          </w:divBdr>
                                                          <w:divsChild>
                                                            <w:div w:id="528837998">
                                                              <w:marLeft w:val="0"/>
                                                              <w:marRight w:val="0"/>
                                                              <w:marTop w:val="0"/>
                                                              <w:marBottom w:val="0"/>
                                                              <w:divBdr>
                                                                <w:top w:val="none" w:sz="0" w:space="0" w:color="auto"/>
                                                                <w:left w:val="none" w:sz="0" w:space="0" w:color="auto"/>
                                                                <w:bottom w:val="none" w:sz="0" w:space="0" w:color="auto"/>
                                                                <w:right w:val="none" w:sz="0" w:space="0" w:color="auto"/>
                                                              </w:divBdr>
                                                            </w:div>
                                                            <w:div w:id="1245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654123">
      <w:bodyDiv w:val="1"/>
      <w:marLeft w:val="0"/>
      <w:marRight w:val="0"/>
      <w:marTop w:val="0"/>
      <w:marBottom w:val="0"/>
      <w:divBdr>
        <w:top w:val="none" w:sz="0" w:space="0" w:color="auto"/>
        <w:left w:val="none" w:sz="0" w:space="0" w:color="auto"/>
        <w:bottom w:val="none" w:sz="0" w:space="0" w:color="auto"/>
        <w:right w:val="none" w:sz="0" w:space="0" w:color="auto"/>
      </w:divBdr>
    </w:div>
    <w:div w:id="1229682070">
      <w:bodyDiv w:val="1"/>
      <w:marLeft w:val="0"/>
      <w:marRight w:val="0"/>
      <w:marTop w:val="0"/>
      <w:marBottom w:val="0"/>
      <w:divBdr>
        <w:top w:val="none" w:sz="0" w:space="0" w:color="auto"/>
        <w:left w:val="none" w:sz="0" w:space="0" w:color="auto"/>
        <w:bottom w:val="none" w:sz="0" w:space="0" w:color="auto"/>
        <w:right w:val="none" w:sz="0" w:space="0" w:color="auto"/>
      </w:divBdr>
    </w:div>
    <w:div w:id="1383165985">
      <w:bodyDiv w:val="1"/>
      <w:marLeft w:val="0"/>
      <w:marRight w:val="0"/>
      <w:marTop w:val="0"/>
      <w:marBottom w:val="0"/>
      <w:divBdr>
        <w:top w:val="none" w:sz="0" w:space="0" w:color="auto"/>
        <w:left w:val="none" w:sz="0" w:space="0" w:color="auto"/>
        <w:bottom w:val="none" w:sz="0" w:space="0" w:color="auto"/>
        <w:right w:val="none" w:sz="0" w:space="0" w:color="auto"/>
      </w:divBdr>
    </w:div>
    <w:div w:id="1450200364">
      <w:bodyDiv w:val="1"/>
      <w:marLeft w:val="0"/>
      <w:marRight w:val="0"/>
      <w:marTop w:val="0"/>
      <w:marBottom w:val="0"/>
      <w:divBdr>
        <w:top w:val="none" w:sz="0" w:space="0" w:color="auto"/>
        <w:left w:val="none" w:sz="0" w:space="0" w:color="auto"/>
        <w:bottom w:val="none" w:sz="0" w:space="0" w:color="auto"/>
        <w:right w:val="none" w:sz="0" w:space="0" w:color="auto"/>
      </w:divBdr>
    </w:div>
    <w:div w:id="1452479214">
      <w:bodyDiv w:val="1"/>
      <w:marLeft w:val="0"/>
      <w:marRight w:val="0"/>
      <w:marTop w:val="0"/>
      <w:marBottom w:val="0"/>
      <w:divBdr>
        <w:top w:val="none" w:sz="0" w:space="0" w:color="auto"/>
        <w:left w:val="none" w:sz="0" w:space="0" w:color="auto"/>
        <w:bottom w:val="none" w:sz="0" w:space="0" w:color="auto"/>
        <w:right w:val="none" w:sz="0" w:space="0" w:color="auto"/>
      </w:divBdr>
      <w:divsChild>
        <w:div w:id="1814103763">
          <w:marLeft w:val="0"/>
          <w:marRight w:val="0"/>
          <w:marTop w:val="0"/>
          <w:marBottom w:val="0"/>
          <w:divBdr>
            <w:top w:val="none" w:sz="0" w:space="0" w:color="auto"/>
            <w:left w:val="none" w:sz="0" w:space="0" w:color="auto"/>
            <w:bottom w:val="none" w:sz="0" w:space="0" w:color="auto"/>
            <w:right w:val="none" w:sz="0" w:space="0" w:color="auto"/>
          </w:divBdr>
          <w:divsChild>
            <w:div w:id="192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621">
      <w:bodyDiv w:val="1"/>
      <w:marLeft w:val="0"/>
      <w:marRight w:val="0"/>
      <w:marTop w:val="0"/>
      <w:marBottom w:val="0"/>
      <w:divBdr>
        <w:top w:val="none" w:sz="0" w:space="0" w:color="auto"/>
        <w:left w:val="none" w:sz="0" w:space="0" w:color="auto"/>
        <w:bottom w:val="none" w:sz="0" w:space="0" w:color="auto"/>
        <w:right w:val="none" w:sz="0" w:space="0" w:color="auto"/>
      </w:divBdr>
      <w:divsChild>
        <w:div w:id="1283658365">
          <w:marLeft w:val="0"/>
          <w:marRight w:val="0"/>
          <w:marTop w:val="0"/>
          <w:marBottom w:val="0"/>
          <w:divBdr>
            <w:top w:val="none" w:sz="0" w:space="0" w:color="auto"/>
            <w:left w:val="none" w:sz="0" w:space="0" w:color="auto"/>
            <w:bottom w:val="none" w:sz="0" w:space="0" w:color="auto"/>
            <w:right w:val="none" w:sz="0" w:space="0" w:color="auto"/>
          </w:divBdr>
          <w:divsChild>
            <w:div w:id="16278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0193">
      <w:bodyDiv w:val="1"/>
      <w:marLeft w:val="0"/>
      <w:marRight w:val="0"/>
      <w:marTop w:val="0"/>
      <w:marBottom w:val="0"/>
      <w:divBdr>
        <w:top w:val="none" w:sz="0" w:space="0" w:color="auto"/>
        <w:left w:val="none" w:sz="0" w:space="0" w:color="auto"/>
        <w:bottom w:val="none" w:sz="0" w:space="0" w:color="auto"/>
        <w:right w:val="none" w:sz="0" w:space="0" w:color="auto"/>
      </w:divBdr>
      <w:divsChild>
        <w:div w:id="2072384806">
          <w:marLeft w:val="0"/>
          <w:marRight w:val="0"/>
          <w:marTop w:val="0"/>
          <w:marBottom w:val="0"/>
          <w:divBdr>
            <w:top w:val="none" w:sz="0" w:space="0" w:color="auto"/>
            <w:left w:val="none" w:sz="0" w:space="0" w:color="auto"/>
            <w:bottom w:val="none" w:sz="0" w:space="0" w:color="auto"/>
            <w:right w:val="none" w:sz="0" w:space="0" w:color="auto"/>
          </w:divBdr>
          <w:divsChild>
            <w:div w:id="21359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9220">
      <w:bodyDiv w:val="1"/>
      <w:marLeft w:val="0"/>
      <w:marRight w:val="0"/>
      <w:marTop w:val="0"/>
      <w:marBottom w:val="0"/>
      <w:divBdr>
        <w:top w:val="none" w:sz="0" w:space="0" w:color="auto"/>
        <w:left w:val="none" w:sz="0" w:space="0" w:color="auto"/>
        <w:bottom w:val="none" w:sz="0" w:space="0" w:color="auto"/>
        <w:right w:val="none" w:sz="0" w:space="0" w:color="auto"/>
      </w:divBdr>
    </w:div>
    <w:div w:id="1808474777">
      <w:bodyDiv w:val="1"/>
      <w:marLeft w:val="0"/>
      <w:marRight w:val="0"/>
      <w:marTop w:val="0"/>
      <w:marBottom w:val="0"/>
      <w:divBdr>
        <w:top w:val="none" w:sz="0" w:space="0" w:color="auto"/>
        <w:left w:val="none" w:sz="0" w:space="0" w:color="auto"/>
        <w:bottom w:val="none" w:sz="0" w:space="0" w:color="auto"/>
        <w:right w:val="none" w:sz="0" w:space="0" w:color="auto"/>
      </w:divBdr>
      <w:divsChild>
        <w:div w:id="1486900546">
          <w:marLeft w:val="0"/>
          <w:marRight w:val="0"/>
          <w:marTop w:val="0"/>
          <w:marBottom w:val="0"/>
          <w:divBdr>
            <w:top w:val="none" w:sz="0" w:space="0" w:color="auto"/>
            <w:left w:val="none" w:sz="0" w:space="0" w:color="auto"/>
            <w:bottom w:val="none" w:sz="0" w:space="0" w:color="auto"/>
            <w:right w:val="none" w:sz="0" w:space="0" w:color="auto"/>
          </w:divBdr>
          <w:divsChild>
            <w:div w:id="1665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1029">
      <w:bodyDiv w:val="1"/>
      <w:marLeft w:val="0"/>
      <w:marRight w:val="0"/>
      <w:marTop w:val="0"/>
      <w:marBottom w:val="0"/>
      <w:divBdr>
        <w:top w:val="none" w:sz="0" w:space="0" w:color="auto"/>
        <w:left w:val="none" w:sz="0" w:space="0" w:color="auto"/>
        <w:bottom w:val="none" w:sz="0" w:space="0" w:color="auto"/>
        <w:right w:val="none" w:sz="0" w:space="0" w:color="auto"/>
      </w:divBdr>
      <w:divsChild>
        <w:div w:id="637615411">
          <w:marLeft w:val="0"/>
          <w:marRight w:val="0"/>
          <w:marTop w:val="0"/>
          <w:marBottom w:val="0"/>
          <w:divBdr>
            <w:top w:val="none" w:sz="0" w:space="0" w:color="auto"/>
            <w:left w:val="none" w:sz="0" w:space="0" w:color="auto"/>
            <w:bottom w:val="none" w:sz="0" w:space="0" w:color="auto"/>
            <w:right w:val="none" w:sz="0" w:space="0" w:color="auto"/>
          </w:divBdr>
          <w:divsChild>
            <w:div w:id="13659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3721">
      <w:bodyDiv w:val="1"/>
      <w:marLeft w:val="0"/>
      <w:marRight w:val="0"/>
      <w:marTop w:val="0"/>
      <w:marBottom w:val="0"/>
      <w:divBdr>
        <w:top w:val="none" w:sz="0" w:space="0" w:color="auto"/>
        <w:left w:val="none" w:sz="0" w:space="0" w:color="auto"/>
        <w:bottom w:val="none" w:sz="0" w:space="0" w:color="auto"/>
        <w:right w:val="none" w:sz="0" w:space="0" w:color="auto"/>
      </w:divBdr>
    </w:div>
    <w:div w:id="20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DCCA1-48DD-45EA-BEFE-0597E5CE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O</dc:creator>
  <cp:lastModifiedBy>Frances Kreimer</cp:lastModifiedBy>
  <cp:revision>4</cp:revision>
  <cp:lastPrinted>2017-04-13T17:59:00Z</cp:lastPrinted>
  <dcterms:created xsi:type="dcterms:W3CDTF">2017-10-20T20:57:00Z</dcterms:created>
  <dcterms:modified xsi:type="dcterms:W3CDTF">2017-10-20T23:59:00Z</dcterms:modified>
</cp:coreProperties>
</file>